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38236" w14:textId="62487DA7" w:rsidR="00BA4B33" w:rsidRPr="00B60952" w:rsidRDefault="00BA4B33" w:rsidP="00F92FC8">
      <w:pPr>
        <w:pStyle w:val="Title"/>
        <w:rPr>
          <w:rFonts w:ascii="Arial" w:hAnsi="Arial" w:cs="Arial"/>
        </w:rPr>
      </w:pPr>
      <w:r w:rsidRPr="002103DD">
        <w:rPr>
          <w:rFonts w:ascii="Arial" w:hAnsi="Arial" w:cs="Arial"/>
          <w:b/>
          <w:bCs/>
        </w:rPr>
        <w:t>The Quine Report</w:t>
      </w:r>
      <w:r w:rsidR="001E678E" w:rsidRPr="002103DD">
        <w:rPr>
          <w:rFonts w:ascii="Arial" w:hAnsi="Arial" w:cs="Arial"/>
          <w:b/>
          <w:bCs/>
        </w:rPr>
        <w:t>:</w:t>
      </w:r>
      <w:r w:rsidR="001E678E" w:rsidRPr="001E0710">
        <w:rPr>
          <w:rFonts w:ascii="Arial" w:hAnsi="Arial" w:cs="Arial"/>
          <w:b/>
          <w:bCs/>
        </w:rPr>
        <w:t xml:space="preserve"> </w:t>
      </w:r>
      <w:r w:rsidR="002D5717" w:rsidRPr="002103DD">
        <w:rPr>
          <w:rFonts w:ascii="Arial" w:hAnsi="Arial" w:cs="Arial"/>
          <w:b/>
          <w:bCs/>
        </w:rPr>
        <w:t>Qu</w:t>
      </w:r>
      <w:r w:rsidR="002D5717">
        <w:rPr>
          <w:rFonts w:ascii="Arial" w:hAnsi="Arial" w:cs="Arial"/>
        </w:rPr>
        <w:t>antifying</w:t>
      </w:r>
      <w:r w:rsidRPr="00B60952">
        <w:rPr>
          <w:rFonts w:ascii="Arial" w:hAnsi="Arial" w:cs="Arial"/>
        </w:rPr>
        <w:t xml:space="preserve"> </w:t>
      </w:r>
      <w:r w:rsidR="002103DD" w:rsidRPr="002103DD">
        <w:rPr>
          <w:rFonts w:ascii="Arial" w:hAnsi="Arial" w:cs="Arial"/>
          <w:b/>
          <w:bCs/>
        </w:rPr>
        <w:t>i</w:t>
      </w:r>
      <w:r w:rsidR="002D5717" w:rsidRPr="002103DD">
        <w:rPr>
          <w:rFonts w:ascii="Arial" w:hAnsi="Arial" w:cs="Arial"/>
          <w:b/>
          <w:bCs/>
        </w:rPr>
        <w:t>n</w:t>
      </w:r>
      <w:r w:rsidRPr="002103DD">
        <w:rPr>
          <w:rFonts w:ascii="Arial" w:hAnsi="Arial" w:cs="Arial"/>
          <w:b/>
          <w:bCs/>
        </w:rPr>
        <w:t>e</w:t>
      </w:r>
      <w:r w:rsidRPr="00B60952">
        <w:rPr>
          <w:rFonts w:ascii="Arial" w:hAnsi="Arial" w:cs="Arial"/>
        </w:rPr>
        <w:t>quality in Scottish literature</w:t>
      </w:r>
    </w:p>
    <w:p w14:paraId="11FD8F72" w14:textId="1D918516" w:rsidR="00704C08" w:rsidRPr="001E0710" w:rsidRDefault="00000000" w:rsidP="001E678E">
      <w:pPr>
        <w:pStyle w:val="Heading1"/>
        <w:rPr>
          <w:rFonts w:ascii="Arial" w:hAnsi="Arial" w:cs="Arial"/>
        </w:rPr>
      </w:pPr>
      <w:bookmarkStart w:id="0" w:name="_Toc195538135"/>
      <w:r w:rsidRPr="001E0710">
        <w:rPr>
          <w:rFonts w:ascii="Arial" w:hAnsi="Arial" w:cs="Arial"/>
        </w:rPr>
        <w:t>Contents</w:t>
      </w:r>
      <w:bookmarkEnd w:id="0"/>
    </w:p>
    <w:p w14:paraId="60399DE2" w14:textId="379C210D" w:rsidR="00715DA1" w:rsidRDefault="00255D82">
      <w:pPr>
        <w:pStyle w:val="TOC1"/>
        <w:tabs>
          <w:tab w:val="right" w:leader="dot" w:pos="9016"/>
        </w:tabs>
        <w:rPr>
          <w:rFonts w:eastAsiaTheme="minorEastAsia" w:cstheme="minorBidi"/>
          <w:b w:val="0"/>
          <w:bCs w:val="0"/>
          <w:caps w:val="0"/>
          <w:noProof/>
          <w:kern w:val="2"/>
          <w:sz w:val="24"/>
          <w:szCs w:val="24"/>
          <w:lang w:eastAsia="en-GB"/>
          <w14:ligatures w14:val="standardContextual"/>
        </w:rPr>
      </w:pPr>
      <w:r w:rsidRPr="001E0710">
        <w:rPr>
          <w:rFonts w:ascii="Arial" w:hAnsi="Arial" w:cs="Arial"/>
        </w:rPr>
        <w:fldChar w:fldCharType="begin"/>
      </w:r>
      <w:r w:rsidRPr="001E0710">
        <w:rPr>
          <w:rFonts w:ascii="Arial" w:hAnsi="Arial" w:cs="Arial"/>
        </w:rPr>
        <w:instrText xml:space="preserve"> TOC \o "1-3" \h \z \u </w:instrText>
      </w:r>
      <w:r w:rsidRPr="001E0710">
        <w:rPr>
          <w:rFonts w:ascii="Arial" w:hAnsi="Arial" w:cs="Arial"/>
        </w:rPr>
        <w:fldChar w:fldCharType="separate"/>
      </w:r>
      <w:hyperlink w:anchor="_Toc195538135" w:history="1">
        <w:r w:rsidR="00715DA1" w:rsidRPr="00F87D47">
          <w:rPr>
            <w:rStyle w:val="Hyperlink"/>
            <w:rFonts w:ascii="Arial" w:hAnsi="Arial" w:cs="Arial"/>
            <w:noProof/>
          </w:rPr>
          <w:t>Contents</w:t>
        </w:r>
        <w:r w:rsidR="00715DA1">
          <w:rPr>
            <w:noProof/>
            <w:webHidden/>
          </w:rPr>
          <w:tab/>
        </w:r>
        <w:r w:rsidR="00715DA1">
          <w:rPr>
            <w:noProof/>
            <w:webHidden/>
          </w:rPr>
          <w:fldChar w:fldCharType="begin"/>
        </w:r>
        <w:r w:rsidR="00715DA1">
          <w:rPr>
            <w:noProof/>
            <w:webHidden/>
          </w:rPr>
          <w:instrText xml:space="preserve"> PAGEREF _Toc195538135 \h </w:instrText>
        </w:r>
        <w:r w:rsidR="00715DA1">
          <w:rPr>
            <w:noProof/>
            <w:webHidden/>
          </w:rPr>
        </w:r>
        <w:r w:rsidR="00715DA1">
          <w:rPr>
            <w:noProof/>
            <w:webHidden/>
          </w:rPr>
          <w:fldChar w:fldCharType="separate"/>
        </w:r>
        <w:r w:rsidR="00715DA1">
          <w:rPr>
            <w:noProof/>
            <w:webHidden/>
          </w:rPr>
          <w:t>1</w:t>
        </w:r>
        <w:r w:rsidR="00715DA1">
          <w:rPr>
            <w:noProof/>
            <w:webHidden/>
          </w:rPr>
          <w:fldChar w:fldCharType="end"/>
        </w:r>
      </w:hyperlink>
    </w:p>
    <w:p w14:paraId="1D6AD89F" w14:textId="68ACA720"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36" w:history="1">
        <w:r w:rsidRPr="00F87D47">
          <w:rPr>
            <w:rStyle w:val="Hyperlink"/>
            <w:rFonts w:ascii="Arial" w:hAnsi="Arial" w:cs="Arial"/>
            <w:noProof/>
          </w:rPr>
          <w:t>Executive Summary</w:t>
        </w:r>
        <w:r>
          <w:rPr>
            <w:noProof/>
            <w:webHidden/>
          </w:rPr>
          <w:tab/>
        </w:r>
        <w:r>
          <w:rPr>
            <w:noProof/>
            <w:webHidden/>
          </w:rPr>
          <w:fldChar w:fldCharType="begin"/>
        </w:r>
        <w:r>
          <w:rPr>
            <w:noProof/>
            <w:webHidden/>
          </w:rPr>
          <w:instrText xml:space="preserve"> PAGEREF _Toc195538136 \h </w:instrText>
        </w:r>
        <w:r>
          <w:rPr>
            <w:noProof/>
            <w:webHidden/>
          </w:rPr>
        </w:r>
        <w:r>
          <w:rPr>
            <w:noProof/>
            <w:webHidden/>
          </w:rPr>
          <w:fldChar w:fldCharType="separate"/>
        </w:r>
        <w:r>
          <w:rPr>
            <w:noProof/>
            <w:webHidden/>
          </w:rPr>
          <w:t>2</w:t>
        </w:r>
        <w:r>
          <w:rPr>
            <w:noProof/>
            <w:webHidden/>
          </w:rPr>
          <w:fldChar w:fldCharType="end"/>
        </w:r>
      </w:hyperlink>
    </w:p>
    <w:p w14:paraId="2705065C" w14:textId="3E3FD0A3"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37" w:history="1">
        <w:r w:rsidRPr="00F87D47">
          <w:rPr>
            <w:rStyle w:val="Hyperlink"/>
            <w:rFonts w:cs="Arial"/>
            <w:noProof/>
          </w:rPr>
          <w:t>Introduction</w:t>
        </w:r>
        <w:r>
          <w:rPr>
            <w:noProof/>
            <w:webHidden/>
          </w:rPr>
          <w:tab/>
        </w:r>
        <w:r>
          <w:rPr>
            <w:noProof/>
            <w:webHidden/>
          </w:rPr>
          <w:fldChar w:fldCharType="begin"/>
        </w:r>
        <w:r>
          <w:rPr>
            <w:noProof/>
            <w:webHidden/>
          </w:rPr>
          <w:instrText xml:space="preserve"> PAGEREF _Toc195538137 \h </w:instrText>
        </w:r>
        <w:r>
          <w:rPr>
            <w:noProof/>
            <w:webHidden/>
          </w:rPr>
        </w:r>
        <w:r>
          <w:rPr>
            <w:noProof/>
            <w:webHidden/>
          </w:rPr>
          <w:fldChar w:fldCharType="separate"/>
        </w:r>
        <w:r>
          <w:rPr>
            <w:noProof/>
            <w:webHidden/>
          </w:rPr>
          <w:t>2</w:t>
        </w:r>
        <w:r>
          <w:rPr>
            <w:noProof/>
            <w:webHidden/>
          </w:rPr>
          <w:fldChar w:fldCharType="end"/>
        </w:r>
      </w:hyperlink>
    </w:p>
    <w:p w14:paraId="06D1AC8D" w14:textId="1401C878"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38" w:history="1">
        <w:r w:rsidRPr="00F87D47">
          <w:rPr>
            <w:rStyle w:val="Hyperlink"/>
            <w:rFonts w:cs="Arial"/>
            <w:noProof/>
          </w:rPr>
          <w:t>The Numbers</w:t>
        </w:r>
        <w:r>
          <w:rPr>
            <w:noProof/>
            <w:webHidden/>
          </w:rPr>
          <w:tab/>
        </w:r>
        <w:r>
          <w:rPr>
            <w:noProof/>
            <w:webHidden/>
          </w:rPr>
          <w:fldChar w:fldCharType="begin"/>
        </w:r>
        <w:r>
          <w:rPr>
            <w:noProof/>
            <w:webHidden/>
          </w:rPr>
          <w:instrText xml:space="preserve"> PAGEREF _Toc195538138 \h </w:instrText>
        </w:r>
        <w:r>
          <w:rPr>
            <w:noProof/>
            <w:webHidden/>
          </w:rPr>
        </w:r>
        <w:r>
          <w:rPr>
            <w:noProof/>
            <w:webHidden/>
          </w:rPr>
          <w:fldChar w:fldCharType="separate"/>
        </w:r>
        <w:r>
          <w:rPr>
            <w:noProof/>
            <w:webHidden/>
          </w:rPr>
          <w:t>2</w:t>
        </w:r>
        <w:r>
          <w:rPr>
            <w:noProof/>
            <w:webHidden/>
          </w:rPr>
          <w:fldChar w:fldCharType="end"/>
        </w:r>
      </w:hyperlink>
    </w:p>
    <w:p w14:paraId="34D54862" w14:textId="21B788EF" w:rsidR="00715DA1" w:rsidRDefault="00715DA1">
      <w:pPr>
        <w:pStyle w:val="TOC3"/>
        <w:tabs>
          <w:tab w:val="right" w:leader="dot" w:pos="9016"/>
        </w:tabs>
        <w:rPr>
          <w:rFonts w:eastAsiaTheme="minorEastAsia" w:cstheme="minorBidi"/>
          <w:i w:val="0"/>
          <w:iCs w:val="0"/>
          <w:noProof/>
          <w:kern w:val="2"/>
          <w:sz w:val="24"/>
          <w:szCs w:val="24"/>
          <w:lang w:eastAsia="en-GB"/>
          <w14:ligatures w14:val="standardContextual"/>
        </w:rPr>
      </w:pPr>
      <w:hyperlink w:anchor="_Toc195538139" w:history="1">
        <w:r w:rsidRPr="00F87D47">
          <w:rPr>
            <w:rStyle w:val="Hyperlink"/>
            <w:rFonts w:cs="Arial"/>
            <w:noProof/>
          </w:rPr>
          <w:t>Literary prizes: 1919-2024</w:t>
        </w:r>
        <w:r>
          <w:rPr>
            <w:noProof/>
            <w:webHidden/>
          </w:rPr>
          <w:tab/>
        </w:r>
        <w:r>
          <w:rPr>
            <w:noProof/>
            <w:webHidden/>
          </w:rPr>
          <w:fldChar w:fldCharType="begin"/>
        </w:r>
        <w:r>
          <w:rPr>
            <w:noProof/>
            <w:webHidden/>
          </w:rPr>
          <w:instrText xml:space="preserve"> PAGEREF _Toc195538139 \h </w:instrText>
        </w:r>
        <w:r>
          <w:rPr>
            <w:noProof/>
            <w:webHidden/>
          </w:rPr>
        </w:r>
        <w:r>
          <w:rPr>
            <w:noProof/>
            <w:webHidden/>
          </w:rPr>
          <w:fldChar w:fldCharType="separate"/>
        </w:r>
        <w:r>
          <w:rPr>
            <w:noProof/>
            <w:webHidden/>
          </w:rPr>
          <w:t>2</w:t>
        </w:r>
        <w:r>
          <w:rPr>
            <w:noProof/>
            <w:webHidden/>
          </w:rPr>
          <w:fldChar w:fldCharType="end"/>
        </w:r>
      </w:hyperlink>
    </w:p>
    <w:p w14:paraId="7546A30D" w14:textId="596579E7" w:rsidR="00715DA1" w:rsidRDefault="00715DA1">
      <w:pPr>
        <w:pStyle w:val="TOC3"/>
        <w:tabs>
          <w:tab w:val="right" w:leader="dot" w:pos="9016"/>
        </w:tabs>
        <w:rPr>
          <w:rFonts w:eastAsiaTheme="minorEastAsia" w:cstheme="minorBidi"/>
          <w:i w:val="0"/>
          <w:iCs w:val="0"/>
          <w:noProof/>
          <w:kern w:val="2"/>
          <w:sz w:val="24"/>
          <w:szCs w:val="24"/>
          <w:lang w:eastAsia="en-GB"/>
          <w14:ligatures w14:val="standardContextual"/>
        </w:rPr>
      </w:pPr>
      <w:hyperlink w:anchor="_Toc195538140" w:history="1">
        <w:r w:rsidRPr="00F87D47">
          <w:rPr>
            <w:rStyle w:val="Hyperlink"/>
            <w:rFonts w:cs="Arial"/>
            <w:noProof/>
          </w:rPr>
          <w:t>Publishing</w:t>
        </w:r>
        <w:r>
          <w:rPr>
            <w:noProof/>
            <w:webHidden/>
          </w:rPr>
          <w:tab/>
        </w:r>
        <w:r>
          <w:rPr>
            <w:noProof/>
            <w:webHidden/>
          </w:rPr>
          <w:fldChar w:fldCharType="begin"/>
        </w:r>
        <w:r>
          <w:rPr>
            <w:noProof/>
            <w:webHidden/>
          </w:rPr>
          <w:instrText xml:space="preserve"> PAGEREF _Toc195538140 \h </w:instrText>
        </w:r>
        <w:r>
          <w:rPr>
            <w:noProof/>
            <w:webHidden/>
          </w:rPr>
        </w:r>
        <w:r>
          <w:rPr>
            <w:noProof/>
            <w:webHidden/>
          </w:rPr>
          <w:fldChar w:fldCharType="separate"/>
        </w:r>
        <w:r>
          <w:rPr>
            <w:noProof/>
            <w:webHidden/>
          </w:rPr>
          <w:t>2</w:t>
        </w:r>
        <w:r>
          <w:rPr>
            <w:noProof/>
            <w:webHidden/>
          </w:rPr>
          <w:fldChar w:fldCharType="end"/>
        </w:r>
      </w:hyperlink>
    </w:p>
    <w:p w14:paraId="31EA268E" w14:textId="3D0D37F7" w:rsidR="00715DA1" w:rsidRDefault="00715DA1">
      <w:pPr>
        <w:pStyle w:val="TOC3"/>
        <w:tabs>
          <w:tab w:val="right" w:leader="dot" w:pos="9016"/>
        </w:tabs>
        <w:rPr>
          <w:rFonts w:eastAsiaTheme="minorEastAsia" w:cstheme="minorBidi"/>
          <w:i w:val="0"/>
          <w:iCs w:val="0"/>
          <w:noProof/>
          <w:kern w:val="2"/>
          <w:sz w:val="24"/>
          <w:szCs w:val="24"/>
          <w:lang w:eastAsia="en-GB"/>
          <w14:ligatures w14:val="standardContextual"/>
        </w:rPr>
      </w:pPr>
      <w:hyperlink w:anchor="_Toc195538141" w:history="1">
        <w:r w:rsidRPr="00F87D47">
          <w:rPr>
            <w:rStyle w:val="Hyperlink"/>
            <w:rFonts w:cs="Arial"/>
            <w:noProof/>
          </w:rPr>
          <w:t>Reviewing</w:t>
        </w:r>
        <w:r>
          <w:rPr>
            <w:noProof/>
            <w:webHidden/>
          </w:rPr>
          <w:tab/>
        </w:r>
        <w:r>
          <w:rPr>
            <w:noProof/>
            <w:webHidden/>
          </w:rPr>
          <w:fldChar w:fldCharType="begin"/>
        </w:r>
        <w:r>
          <w:rPr>
            <w:noProof/>
            <w:webHidden/>
          </w:rPr>
          <w:instrText xml:space="preserve"> PAGEREF _Toc195538141 \h </w:instrText>
        </w:r>
        <w:r>
          <w:rPr>
            <w:noProof/>
            <w:webHidden/>
          </w:rPr>
        </w:r>
        <w:r>
          <w:rPr>
            <w:noProof/>
            <w:webHidden/>
          </w:rPr>
          <w:fldChar w:fldCharType="separate"/>
        </w:r>
        <w:r>
          <w:rPr>
            <w:noProof/>
            <w:webHidden/>
          </w:rPr>
          <w:t>3</w:t>
        </w:r>
        <w:r>
          <w:rPr>
            <w:noProof/>
            <w:webHidden/>
          </w:rPr>
          <w:fldChar w:fldCharType="end"/>
        </w:r>
      </w:hyperlink>
    </w:p>
    <w:p w14:paraId="7ED5E0BC" w14:textId="4EAABC49" w:rsidR="00715DA1" w:rsidRDefault="00715DA1">
      <w:pPr>
        <w:pStyle w:val="TOC3"/>
        <w:tabs>
          <w:tab w:val="right" w:leader="dot" w:pos="9016"/>
        </w:tabs>
        <w:rPr>
          <w:rFonts w:eastAsiaTheme="minorEastAsia" w:cstheme="minorBidi"/>
          <w:i w:val="0"/>
          <w:iCs w:val="0"/>
          <w:noProof/>
          <w:kern w:val="2"/>
          <w:sz w:val="24"/>
          <w:szCs w:val="24"/>
          <w:lang w:eastAsia="en-GB"/>
          <w14:ligatures w14:val="standardContextual"/>
        </w:rPr>
      </w:pPr>
      <w:hyperlink w:anchor="_Toc195538142" w:history="1">
        <w:r w:rsidRPr="00F87D47">
          <w:rPr>
            <w:rStyle w:val="Hyperlink"/>
            <w:rFonts w:cs="Arial"/>
            <w:noProof/>
          </w:rPr>
          <w:t>Book festivals: 2017-2019</w:t>
        </w:r>
        <w:r>
          <w:rPr>
            <w:noProof/>
            <w:webHidden/>
          </w:rPr>
          <w:tab/>
        </w:r>
        <w:r>
          <w:rPr>
            <w:noProof/>
            <w:webHidden/>
          </w:rPr>
          <w:fldChar w:fldCharType="begin"/>
        </w:r>
        <w:r>
          <w:rPr>
            <w:noProof/>
            <w:webHidden/>
          </w:rPr>
          <w:instrText xml:space="preserve"> PAGEREF _Toc195538142 \h </w:instrText>
        </w:r>
        <w:r>
          <w:rPr>
            <w:noProof/>
            <w:webHidden/>
          </w:rPr>
        </w:r>
        <w:r>
          <w:rPr>
            <w:noProof/>
            <w:webHidden/>
          </w:rPr>
          <w:fldChar w:fldCharType="separate"/>
        </w:r>
        <w:r>
          <w:rPr>
            <w:noProof/>
            <w:webHidden/>
          </w:rPr>
          <w:t>3</w:t>
        </w:r>
        <w:r>
          <w:rPr>
            <w:noProof/>
            <w:webHidden/>
          </w:rPr>
          <w:fldChar w:fldCharType="end"/>
        </w:r>
      </w:hyperlink>
    </w:p>
    <w:p w14:paraId="6E1B939D" w14:textId="11AF77F9" w:rsidR="00715DA1" w:rsidRDefault="00715DA1">
      <w:pPr>
        <w:pStyle w:val="TOC3"/>
        <w:tabs>
          <w:tab w:val="right" w:leader="dot" w:pos="9016"/>
        </w:tabs>
        <w:rPr>
          <w:rFonts w:eastAsiaTheme="minorEastAsia" w:cstheme="minorBidi"/>
          <w:i w:val="0"/>
          <w:iCs w:val="0"/>
          <w:noProof/>
          <w:kern w:val="2"/>
          <w:sz w:val="24"/>
          <w:szCs w:val="24"/>
          <w:lang w:eastAsia="en-GB"/>
          <w14:ligatures w14:val="standardContextual"/>
        </w:rPr>
      </w:pPr>
      <w:hyperlink w:anchor="_Toc195538143" w:history="1">
        <w:r w:rsidRPr="00F87D47">
          <w:rPr>
            <w:rStyle w:val="Hyperlink"/>
            <w:rFonts w:cs="Arial"/>
            <w:noProof/>
          </w:rPr>
          <w:t>Amplifying Visibility</w:t>
        </w:r>
        <w:r>
          <w:rPr>
            <w:noProof/>
            <w:webHidden/>
          </w:rPr>
          <w:tab/>
        </w:r>
        <w:r>
          <w:rPr>
            <w:noProof/>
            <w:webHidden/>
          </w:rPr>
          <w:fldChar w:fldCharType="begin"/>
        </w:r>
        <w:r>
          <w:rPr>
            <w:noProof/>
            <w:webHidden/>
          </w:rPr>
          <w:instrText xml:space="preserve"> PAGEREF _Toc195538143 \h </w:instrText>
        </w:r>
        <w:r>
          <w:rPr>
            <w:noProof/>
            <w:webHidden/>
          </w:rPr>
        </w:r>
        <w:r>
          <w:rPr>
            <w:noProof/>
            <w:webHidden/>
          </w:rPr>
          <w:fldChar w:fldCharType="separate"/>
        </w:r>
        <w:r>
          <w:rPr>
            <w:noProof/>
            <w:webHidden/>
          </w:rPr>
          <w:t>3</w:t>
        </w:r>
        <w:r>
          <w:rPr>
            <w:noProof/>
            <w:webHidden/>
          </w:rPr>
          <w:fldChar w:fldCharType="end"/>
        </w:r>
      </w:hyperlink>
    </w:p>
    <w:p w14:paraId="32FAF009" w14:textId="2FB880C8"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44" w:history="1">
        <w:r w:rsidRPr="00F87D47">
          <w:rPr>
            <w:rStyle w:val="Hyperlink"/>
            <w:rFonts w:cs="Arial"/>
            <w:noProof/>
          </w:rPr>
          <w:t>The Interviews and Analysis</w:t>
        </w:r>
        <w:r>
          <w:rPr>
            <w:noProof/>
            <w:webHidden/>
          </w:rPr>
          <w:tab/>
        </w:r>
        <w:r>
          <w:rPr>
            <w:noProof/>
            <w:webHidden/>
          </w:rPr>
          <w:fldChar w:fldCharType="begin"/>
        </w:r>
        <w:r>
          <w:rPr>
            <w:noProof/>
            <w:webHidden/>
          </w:rPr>
          <w:instrText xml:space="preserve"> PAGEREF _Toc195538144 \h </w:instrText>
        </w:r>
        <w:r>
          <w:rPr>
            <w:noProof/>
            <w:webHidden/>
          </w:rPr>
        </w:r>
        <w:r>
          <w:rPr>
            <w:noProof/>
            <w:webHidden/>
          </w:rPr>
          <w:fldChar w:fldCharType="separate"/>
        </w:r>
        <w:r>
          <w:rPr>
            <w:noProof/>
            <w:webHidden/>
          </w:rPr>
          <w:t>4</w:t>
        </w:r>
        <w:r>
          <w:rPr>
            <w:noProof/>
            <w:webHidden/>
          </w:rPr>
          <w:fldChar w:fldCharType="end"/>
        </w:r>
      </w:hyperlink>
    </w:p>
    <w:p w14:paraId="5FD768CD" w14:textId="5EC6A4C8"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45" w:history="1">
        <w:r w:rsidRPr="00F87D47">
          <w:rPr>
            <w:rStyle w:val="Hyperlink"/>
            <w:rFonts w:cs="Arial"/>
            <w:noProof/>
          </w:rPr>
          <w:t>Industry recommendations</w:t>
        </w:r>
        <w:r>
          <w:rPr>
            <w:noProof/>
            <w:webHidden/>
          </w:rPr>
          <w:tab/>
        </w:r>
        <w:r>
          <w:rPr>
            <w:noProof/>
            <w:webHidden/>
          </w:rPr>
          <w:fldChar w:fldCharType="begin"/>
        </w:r>
        <w:r>
          <w:rPr>
            <w:noProof/>
            <w:webHidden/>
          </w:rPr>
          <w:instrText xml:space="preserve"> PAGEREF _Toc195538145 \h </w:instrText>
        </w:r>
        <w:r>
          <w:rPr>
            <w:noProof/>
            <w:webHidden/>
          </w:rPr>
        </w:r>
        <w:r>
          <w:rPr>
            <w:noProof/>
            <w:webHidden/>
          </w:rPr>
          <w:fldChar w:fldCharType="separate"/>
        </w:r>
        <w:r>
          <w:rPr>
            <w:noProof/>
            <w:webHidden/>
          </w:rPr>
          <w:t>5</w:t>
        </w:r>
        <w:r>
          <w:rPr>
            <w:noProof/>
            <w:webHidden/>
          </w:rPr>
          <w:fldChar w:fldCharType="end"/>
        </w:r>
      </w:hyperlink>
    </w:p>
    <w:p w14:paraId="65DC7103" w14:textId="586CB7BA"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46" w:history="1">
        <w:r w:rsidRPr="00F87D47">
          <w:rPr>
            <w:rStyle w:val="Hyperlink"/>
            <w:rFonts w:ascii="Arial" w:hAnsi="Arial" w:cs="Arial"/>
            <w:noProof/>
          </w:rPr>
          <w:t>Statements</w:t>
        </w:r>
        <w:r>
          <w:rPr>
            <w:noProof/>
            <w:webHidden/>
          </w:rPr>
          <w:tab/>
        </w:r>
        <w:r>
          <w:rPr>
            <w:noProof/>
            <w:webHidden/>
          </w:rPr>
          <w:fldChar w:fldCharType="begin"/>
        </w:r>
        <w:r>
          <w:rPr>
            <w:noProof/>
            <w:webHidden/>
          </w:rPr>
          <w:instrText xml:space="preserve"> PAGEREF _Toc195538146 \h </w:instrText>
        </w:r>
        <w:r>
          <w:rPr>
            <w:noProof/>
            <w:webHidden/>
          </w:rPr>
        </w:r>
        <w:r>
          <w:rPr>
            <w:noProof/>
            <w:webHidden/>
          </w:rPr>
          <w:fldChar w:fldCharType="separate"/>
        </w:r>
        <w:r>
          <w:rPr>
            <w:noProof/>
            <w:webHidden/>
          </w:rPr>
          <w:t>7</w:t>
        </w:r>
        <w:r>
          <w:rPr>
            <w:noProof/>
            <w:webHidden/>
          </w:rPr>
          <w:fldChar w:fldCharType="end"/>
        </w:r>
      </w:hyperlink>
    </w:p>
    <w:p w14:paraId="54E8798C" w14:textId="1D8FA920"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47" w:history="1">
        <w:r w:rsidRPr="00F87D47">
          <w:rPr>
            <w:rStyle w:val="Hyperlink"/>
            <w:rFonts w:ascii="Arial" w:hAnsi="Arial" w:cs="Arial"/>
            <w:noProof/>
          </w:rPr>
          <w:t>Context</w:t>
        </w:r>
        <w:r>
          <w:rPr>
            <w:noProof/>
            <w:webHidden/>
          </w:rPr>
          <w:tab/>
        </w:r>
        <w:r>
          <w:rPr>
            <w:noProof/>
            <w:webHidden/>
          </w:rPr>
          <w:fldChar w:fldCharType="begin"/>
        </w:r>
        <w:r>
          <w:rPr>
            <w:noProof/>
            <w:webHidden/>
          </w:rPr>
          <w:instrText xml:space="preserve"> PAGEREF _Toc195538147 \h </w:instrText>
        </w:r>
        <w:r>
          <w:rPr>
            <w:noProof/>
            <w:webHidden/>
          </w:rPr>
        </w:r>
        <w:r>
          <w:rPr>
            <w:noProof/>
            <w:webHidden/>
          </w:rPr>
          <w:fldChar w:fldCharType="separate"/>
        </w:r>
        <w:r>
          <w:rPr>
            <w:noProof/>
            <w:webHidden/>
          </w:rPr>
          <w:t>8</w:t>
        </w:r>
        <w:r>
          <w:rPr>
            <w:noProof/>
            <w:webHidden/>
          </w:rPr>
          <w:fldChar w:fldCharType="end"/>
        </w:r>
      </w:hyperlink>
    </w:p>
    <w:p w14:paraId="758BDA8E" w14:textId="258C5E3C"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48" w:history="1">
        <w:r w:rsidRPr="00F87D47">
          <w:rPr>
            <w:rStyle w:val="Hyperlink"/>
            <w:rFonts w:ascii="Arial" w:hAnsi="Arial" w:cs="Arial"/>
            <w:noProof/>
          </w:rPr>
          <w:t>The Numbers</w:t>
        </w:r>
        <w:r>
          <w:rPr>
            <w:noProof/>
            <w:webHidden/>
          </w:rPr>
          <w:tab/>
        </w:r>
        <w:r>
          <w:rPr>
            <w:noProof/>
            <w:webHidden/>
          </w:rPr>
          <w:fldChar w:fldCharType="begin"/>
        </w:r>
        <w:r>
          <w:rPr>
            <w:noProof/>
            <w:webHidden/>
          </w:rPr>
          <w:instrText xml:space="preserve"> PAGEREF _Toc195538148 \h </w:instrText>
        </w:r>
        <w:r>
          <w:rPr>
            <w:noProof/>
            <w:webHidden/>
          </w:rPr>
        </w:r>
        <w:r>
          <w:rPr>
            <w:noProof/>
            <w:webHidden/>
          </w:rPr>
          <w:fldChar w:fldCharType="separate"/>
        </w:r>
        <w:r>
          <w:rPr>
            <w:noProof/>
            <w:webHidden/>
          </w:rPr>
          <w:t>10</w:t>
        </w:r>
        <w:r>
          <w:rPr>
            <w:noProof/>
            <w:webHidden/>
          </w:rPr>
          <w:fldChar w:fldCharType="end"/>
        </w:r>
      </w:hyperlink>
    </w:p>
    <w:p w14:paraId="114C6C9B" w14:textId="4B39FE7B"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49" w:history="1">
        <w:r w:rsidRPr="00F87D47">
          <w:rPr>
            <w:rStyle w:val="Hyperlink"/>
            <w:rFonts w:cs="Arial"/>
            <w:noProof/>
          </w:rPr>
          <w:t>Note on methodology: counting gender and ethnicity</w:t>
        </w:r>
        <w:r>
          <w:rPr>
            <w:noProof/>
            <w:webHidden/>
          </w:rPr>
          <w:tab/>
        </w:r>
        <w:r>
          <w:rPr>
            <w:noProof/>
            <w:webHidden/>
          </w:rPr>
          <w:fldChar w:fldCharType="begin"/>
        </w:r>
        <w:r>
          <w:rPr>
            <w:noProof/>
            <w:webHidden/>
          </w:rPr>
          <w:instrText xml:space="preserve"> PAGEREF _Toc195538149 \h </w:instrText>
        </w:r>
        <w:r>
          <w:rPr>
            <w:noProof/>
            <w:webHidden/>
          </w:rPr>
        </w:r>
        <w:r>
          <w:rPr>
            <w:noProof/>
            <w:webHidden/>
          </w:rPr>
          <w:fldChar w:fldCharType="separate"/>
        </w:r>
        <w:r>
          <w:rPr>
            <w:noProof/>
            <w:webHidden/>
          </w:rPr>
          <w:t>10</w:t>
        </w:r>
        <w:r>
          <w:rPr>
            <w:noProof/>
            <w:webHidden/>
          </w:rPr>
          <w:fldChar w:fldCharType="end"/>
        </w:r>
      </w:hyperlink>
    </w:p>
    <w:p w14:paraId="3BEF22E4" w14:textId="246D313D"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0" w:history="1">
        <w:r w:rsidRPr="00F87D47">
          <w:rPr>
            <w:rStyle w:val="Hyperlink"/>
            <w:rFonts w:cs="Arial"/>
            <w:noProof/>
          </w:rPr>
          <w:t>Literary prizes 1919-2024</w:t>
        </w:r>
        <w:r>
          <w:rPr>
            <w:noProof/>
            <w:webHidden/>
          </w:rPr>
          <w:tab/>
        </w:r>
        <w:r>
          <w:rPr>
            <w:noProof/>
            <w:webHidden/>
          </w:rPr>
          <w:fldChar w:fldCharType="begin"/>
        </w:r>
        <w:r>
          <w:rPr>
            <w:noProof/>
            <w:webHidden/>
          </w:rPr>
          <w:instrText xml:space="preserve"> PAGEREF _Toc195538150 \h </w:instrText>
        </w:r>
        <w:r>
          <w:rPr>
            <w:noProof/>
            <w:webHidden/>
          </w:rPr>
        </w:r>
        <w:r>
          <w:rPr>
            <w:noProof/>
            <w:webHidden/>
          </w:rPr>
          <w:fldChar w:fldCharType="separate"/>
        </w:r>
        <w:r>
          <w:rPr>
            <w:noProof/>
            <w:webHidden/>
          </w:rPr>
          <w:t>11</w:t>
        </w:r>
        <w:r>
          <w:rPr>
            <w:noProof/>
            <w:webHidden/>
          </w:rPr>
          <w:fldChar w:fldCharType="end"/>
        </w:r>
      </w:hyperlink>
    </w:p>
    <w:p w14:paraId="601A6196" w14:textId="463A107E"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1" w:history="1">
        <w:r w:rsidRPr="00F87D47">
          <w:rPr>
            <w:rStyle w:val="Hyperlink"/>
            <w:rFonts w:cs="Arial"/>
            <w:noProof/>
          </w:rPr>
          <w:t>Publishing</w:t>
        </w:r>
        <w:r>
          <w:rPr>
            <w:noProof/>
            <w:webHidden/>
          </w:rPr>
          <w:tab/>
        </w:r>
        <w:r>
          <w:rPr>
            <w:noProof/>
            <w:webHidden/>
          </w:rPr>
          <w:fldChar w:fldCharType="begin"/>
        </w:r>
        <w:r>
          <w:rPr>
            <w:noProof/>
            <w:webHidden/>
          </w:rPr>
          <w:instrText xml:space="preserve"> PAGEREF _Toc195538151 \h </w:instrText>
        </w:r>
        <w:r>
          <w:rPr>
            <w:noProof/>
            <w:webHidden/>
          </w:rPr>
        </w:r>
        <w:r>
          <w:rPr>
            <w:noProof/>
            <w:webHidden/>
          </w:rPr>
          <w:fldChar w:fldCharType="separate"/>
        </w:r>
        <w:r>
          <w:rPr>
            <w:noProof/>
            <w:webHidden/>
          </w:rPr>
          <w:t>13</w:t>
        </w:r>
        <w:r>
          <w:rPr>
            <w:noProof/>
            <w:webHidden/>
          </w:rPr>
          <w:fldChar w:fldCharType="end"/>
        </w:r>
      </w:hyperlink>
    </w:p>
    <w:p w14:paraId="6F1EB2BF" w14:textId="6848941D"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2" w:history="1">
        <w:r w:rsidRPr="00F87D47">
          <w:rPr>
            <w:rStyle w:val="Hyperlink"/>
            <w:rFonts w:cs="Arial"/>
            <w:noProof/>
          </w:rPr>
          <w:t>Reviewing</w:t>
        </w:r>
        <w:r>
          <w:rPr>
            <w:noProof/>
            <w:webHidden/>
          </w:rPr>
          <w:tab/>
        </w:r>
        <w:r>
          <w:rPr>
            <w:noProof/>
            <w:webHidden/>
          </w:rPr>
          <w:fldChar w:fldCharType="begin"/>
        </w:r>
        <w:r>
          <w:rPr>
            <w:noProof/>
            <w:webHidden/>
          </w:rPr>
          <w:instrText xml:space="preserve"> PAGEREF _Toc195538152 \h </w:instrText>
        </w:r>
        <w:r>
          <w:rPr>
            <w:noProof/>
            <w:webHidden/>
          </w:rPr>
        </w:r>
        <w:r>
          <w:rPr>
            <w:noProof/>
            <w:webHidden/>
          </w:rPr>
          <w:fldChar w:fldCharType="separate"/>
        </w:r>
        <w:r>
          <w:rPr>
            <w:noProof/>
            <w:webHidden/>
          </w:rPr>
          <w:t>14</w:t>
        </w:r>
        <w:r>
          <w:rPr>
            <w:noProof/>
            <w:webHidden/>
          </w:rPr>
          <w:fldChar w:fldCharType="end"/>
        </w:r>
      </w:hyperlink>
    </w:p>
    <w:p w14:paraId="07BC41E0" w14:textId="1DD64110"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3" w:history="1">
        <w:r w:rsidRPr="00F87D47">
          <w:rPr>
            <w:rStyle w:val="Hyperlink"/>
            <w:rFonts w:cs="Arial"/>
            <w:noProof/>
          </w:rPr>
          <w:t>Book festivals</w:t>
        </w:r>
        <w:r>
          <w:rPr>
            <w:noProof/>
            <w:webHidden/>
          </w:rPr>
          <w:tab/>
        </w:r>
        <w:r>
          <w:rPr>
            <w:noProof/>
            <w:webHidden/>
          </w:rPr>
          <w:fldChar w:fldCharType="begin"/>
        </w:r>
        <w:r>
          <w:rPr>
            <w:noProof/>
            <w:webHidden/>
          </w:rPr>
          <w:instrText xml:space="preserve"> PAGEREF _Toc195538153 \h </w:instrText>
        </w:r>
        <w:r>
          <w:rPr>
            <w:noProof/>
            <w:webHidden/>
          </w:rPr>
        </w:r>
        <w:r>
          <w:rPr>
            <w:noProof/>
            <w:webHidden/>
          </w:rPr>
          <w:fldChar w:fldCharType="separate"/>
        </w:r>
        <w:r>
          <w:rPr>
            <w:noProof/>
            <w:webHidden/>
          </w:rPr>
          <w:t>19</w:t>
        </w:r>
        <w:r>
          <w:rPr>
            <w:noProof/>
            <w:webHidden/>
          </w:rPr>
          <w:fldChar w:fldCharType="end"/>
        </w:r>
      </w:hyperlink>
    </w:p>
    <w:p w14:paraId="5C37E4D9" w14:textId="6BA5C7EC"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4" w:history="1">
        <w:r w:rsidRPr="00F87D47">
          <w:rPr>
            <w:rStyle w:val="Hyperlink"/>
            <w:rFonts w:cs="Arial"/>
            <w:noProof/>
          </w:rPr>
          <w:t>Amplifying Visibility</w:t>
        </w:r>
        <w:r>
          <w:rPr>
            <w:noProof/>
            <w:webHidden/>
          </w:rPr>
          <w:tab/>
        </w:r>
        <w:r>
          <w:rPr>
            <w:noProof/>
            <w:webHidden/>
          </w:rPr>
          <w:fldChar w:fldCharType="begin"/>
        </w:r>
        <w:r>
          <w:rPr>
            <w:noProof/>
            <w:webHidden/>
          </w:rPr>
          <w:instrText xml:space="preserve"> PAGEREF _Toc195538154 \h </w:instrText>
        </w:r>
        <w:r>
          <w:rPr>
            <w:noProof/>
            <w:webHidden/>
          </w:rPr>
        </w:r>
        <w:r>
          <w:rPr>
            <w:noProof/>
            <w:webHidden/>
          </w:rPr>
          <w:fldChar w:fldCharType="separate"/>
        </w:r>
        <w:r>
          <w:rPr>
            <w:noProof/>
            <w:webHidden/>
          </w:rPr>
          <w:t>20</w:t>
        </w:r>
        <w:r>
          <w:rPr>
            <w:noProof/>
            <w:webHidden/>
          </w:rPr>
          <w:fldChar w:fldCharType="end"/>
        </w:r>
      </w:hyperlink>
    </w:p>
    <w:p w14:paraId="675334B1" w14:textId="106348F2"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5" w:history="1">
        <w:r w:rsidRPr="00F87D47">
          <w:rPr>
            <w:rStyle w:val="Hyperlink"/>
            <w:rFonts w:cs="Arial"/>
            <w:noProof/>
          </w:rPr>
          <w:t>Summary</w:t>
        </w:r>
        <w:r>
          <w:rPr>
            <w:noProof/>
            <w:webHidden/>
          </w:rPr>
          <w:tab/>
        </w:r>
        <w:r>
          <w:rPr>
            <w:noProof/>
            <w:webHidden/>
          </w:rPr>
          <w:fldChar w:fldCharType="begin"/>
        </w:r>
        <w:r>
          <w:rPr>
            <w:noProof/>
            <w:webHidden/>
          </w:rPr>
          <w:instrText xml:space="preserve"> PAGEREF _Toc195538155 \h </w:instrText>
        </w:r>
        <w:r>
          <w:rPr>
            <w:noProof/>
            <w:webHidden/>
          </w:rPr>
        </w:r>
        <w:r>
          <w:rPr>
            <w:noProof/>
            <w:webHidden/>
          </w:rPr>
          <w:fldChar w:fldCharType="separate"/>
        </w:r>
        <w:r>
          <w:rPr>
            <w:noProof/>
            <w:webHidden/>
          </w:rPr>
          <w:t>20</w:t>
        </w:r>
        <w:r>
          <w:rPr>
            <w:noProof/>
            <w:webHidden/>
          </w:rPr>
          <w:fldChar w:fldCharType="end"/>
        </w:r>
      </w:hyperlink>
    </w:p>
    <w:p w14:paraId="7E195EA9" w14:textId="4ADEC78C"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56" w:history="1">
        <w:r w:rsidRPr="00F87D47">
          <w:rPr>
            <w:rStyle w:val="Hyperlink"/>
            <w:rFonts w:ascii="Arial" w:hAnsi="Arial" w:cs="Arial"/>
            <w:noProof/>
          </w:rPr>
          <w:t>Interviews and Analysis</w:t>
        </w:r>
        <w:r>
          <w:rPr>
            <w:noProof/>
            <w:webHidden/>
          </w:rPr>
          <w:tab/>
        </w:r>
        <w:r>
          <w:rPr>
            <w:noProof/>
            <w:webHidden/>
          </w:rPr>
          <w:fldChar w:fldCharType="begin"/>
        </w:r>
        <w:r>
          <w:rPr>
            <w:noProof/>
            <w:webHidden/>
          </w:rPr>
          <w:instrText xml:space="preserve"> PAGEREF _Toc195538156 \h </w:instrText>
        </w:r>
        <w:r>
          <w:rPr>
            <w:noProof/>
            <w:webHidden/>
          </w:rPr>
        </w:r>
        <w:r>
          <w:rPr>
            <w:noProof/>
            <w:webHidden/>
          </w:rPr>
          <w:fldChar w:fldCharType="separate"/>
        </w:r>
        <w:r>
          <w:rPr>
            <w:noProof/>
            <w:webHidden/>
          </w:rPr>
          <w:t>23</w:t>
        </w:r>
        <w:r>
          <w:rPr>
            <w:noProof/>
            <w:webHidden/>
          </w:rPr>
          <w:fldChar w:fldCharType="end"/>
        </w:r>
      </w:hyperlink>
    </w:p>
    <w:p w14:paraId="2E517CF8" w14:textId="0FEB4027"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7" w:history="1">
        <w:r w:rsidRPr="00F87D47">
          <w:rPr>
            <w:rStyle w:val="Hyperlink"/>
            <w:rFonts w:cs="Arial"/>
            <w:noProof/>
          </w:rPr>
          <w:t>Scottish literary canon</w:t>
        </w:r>
        <w:r>
          <w:rPr>
            <w:noProof/>
            <w:webHidden/>
          </w:rPr>
          <w:tab/>
        </w:r>
        <w:r>
          <w:rPr>
            <w:noProof/>
            <w:webHidden/>
          </w:rPr>
          <w:fldChar w:fldCharType="begin"/>
        </w:r>
        <w:r>
          <w:rPr>
            <w:noProof/>
            <w:webHidden/>
          </w:rPr>
          <w:instrText xml:space="preserve"> PAGEREF _Toc195538157 \h </w:instrText>
        </w:r>
        <w:r>
          <w:rPr>
            <w:noProof/>
            <w:webHidden/>
          </w:rPr>
        </w:r>
        <w:r>
          <w:rPr>
            <w:noProof/>
            <w:webHidden/>
          </w:rPr>
          <w:fldChar w:fldCharType="separate"/>
        </w:r>
        <w:r>
          <w:rPr>
            <w:noProof/>
            <w:webHidden/>
          </w:rPr>
          <w:t>23</w:t>
        </w:r>
        <w:r>
          <w:rPr>
            <w:noProof/>
            <w:webHidden/>
          </w:rPr>
          <w:fldChar w:fldCharType="end"/>
        </w:r>
      </w:hyperlink>
    </w:p>
    <w:p w14:paraId="07340E70" w14:textId="7B00390E"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8" w:history="1">
        <w:r w:rsidRPr="00F87D47">
          <w:rPr>
            <w:rStyle w:val="Hyperlink"/>
            <w:rFonts w:cs="Arial"/>
            <w:noProof/>
          </w:rPr>
          <w:t>Market idea of risk</w:t>
        </w:r>
        <w:r>
          <w:rPr>
            <w:noProof/>
            <w:webHidden/>
          </w:rPr>
          <w:tab/>
        </w:r>
        <w:r>
          <w:rPr>
            <w:noProof/>
            <w:webHidden/>
          </w:rPr>
          <w:fldChar w:fldCharType="begin"/>
        </w:r>
        <w:r>
          <w:rPr>
            <w:noProof/>
            <w:webHidden/>
          </w:rPr>
          <w:instrText xml:space="preserve"> PAGEREF _Toc195538158 \h </w:instrText>
        </w:r>
        <w:r>
          <w:rPr>
            <w:noProof/>
            <w:webHidden/>
          </w:rPr>
        </w:r>
        <w:r>
          <w:rPr>
            <w:noProof/>
            <w:webHidden/>
          </w:rPr>
          <w:fldChar w:fldCharType="separate"/>
        </w:r>
        <w:r>
          <w:rPr>
            <w:noProof/>
            <w:webHidden/>
          </w:rPr>
          <w:t>24</w:t>
        </w:r>
        <w:r>
          <w:rPr>
            <w:noProof/>
            <w:webHidden/>
          </w:rPr>
          <w:fldChar w:fldCharType="end"/>
        </w:r>
      </w:hyperlink>
    </w:p>
    <w:p w14:paraId="731A9814" w14:textId="69E04B0D"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59" w:history="1">
        <w:r w:rsidRPr="00F87D47">
          <w:rPr>
            <w:rStyle w:val="Hyperlink"/>
            <w:rFonts w:cs="Arial"/>
            <w:noProof/>
          </w:rPr>
          <w:t>Financial relationships</w:t>
        </w:r>
        <w:r>
          <w:rPr>
            <w:noProof/>
            <w:webHidden/>
          </w:rPr>
          <w:tab/>
        </w:r>
        <w:r>
          <w:rPr>
            <w:noProof/>
            <w:webHidden/>
          </w:rPr>
          <w:fldChar w:fldCharType="begin"/>
        </w:r>
        <w:r>
          <w:rPr>
            <w:noProof/>
            <w:webHidden/>
          </w:rPr>
          <w:instrText xml:space="preserve"> PAGEREF _Toc195538159 \h </w:instrText>
        </w:r>
        <w:r>
          <w:rPr>
            <w:noProof/>
            <w:webHidden/>
          </w:rPr>
        </w:r>
        <w:r>
          <w:rPr>
            <w:noProof/>
            <w:webHidden/>
          </w:rPr>
          <w:fldChar w:fldCharType="separate"/>
        </w:r>
        <w:r>
          <w:rPr>
            <w:noProof/>
            <w:webHidden/>
          </w:rPr>
          <w:t>24</w:t>
        </w:r>
        <w:r>
          <w:rPr>
            <w:noProof/>
            <w:webHidden/>
          </w:rPr>
          <w:fldChar w:fldCharType="end"/>
        </w:r>
      </w:hyperlink>
    </w:p>
    <w:p w14:paraId="5E493CB6" w14:textId="46802412"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60" w:history="1">
        <w:r w:rsidRPr="00F87D47">
          <w:rPr>
            <w:rStyle w:val="Hyperlink"/>
            <w:rFonts w:cs="Arial"/>
            <w:noProof/>
          </w:rPr>
          <w:t>Gender discrimination in the workplace</w:t>
        </w:r>
        <w:r>
          <w:rPr>
            <w:noProof/>
            <w:webHidden/>
          </w:rPr>
          <w:tab/>
        </w:r>
        <w:r>
          <w:rPr>
            <w:noProof/>
            <w:webHidden/>
          </w:rPr>
          <w:fldChar w:fldCharType="begin"/>
        </w:r>
        <w:r>
          <w:rPr>
            <w:noProof/>
            <w:webHidden/>
          </w:rPr>
          <w:instrText xml:space="preserve"> PAGEREF _Toc195538160 \h </w:instrText>
        </w:r>
        <w:r>
          <w:rPr>
            <w:noProof/>
            <w:webHidden/>
          </w:rPr>
        </w:r>
        <w:r>
          <w:rPr>
            <w:noProof/>
            <w:webHidden/>
          </w:rPr>
          <w:fldChar w:fldCharType="separate"/>
        </w:r>
        <w:r>
          <w:rPr>
            <w:noProof/>
            <w:webHidden/>
          </w:rPr>
          <w:t>25</w:t>
        </w:r>
        <w:r>
          <w:rPr>
            <w:noProof/>
            <w:webHidden/>
          </w:rPr>
          <w:fldChar w:fldCharType="end"/>
        </w:r>
      </w:hyperlink>
    </w:p>
    <w:p w14:paraId="3AAAFF4A" w14:textId="1675689F"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61" w:history="1">
        <w:r w:rsidRPr="00F87D47">
          <w:rPr>
            <w:rStyle w:val="Hyperlink"/>
            <w:rFonts w:cs="Arial"/>
            <w:noProof/>
          </w:rPr>
          <w:t>Devaluing women’s work</w:t>
        </w:r>
        <w:r>
          <w:rPr>
            <w:noProof/>
            <w:webHidden/>
          </w:rPr>
          <w:tab/>
        </w:r>
        <w:r>
          <w:rPr>
            <w:noProof/>
            <w:webHidden/>
          </w:rPr>
          <w:fldChar w:fldCharType="begin"/>
        </w:r>
        <w:r>
          <w:rPr>
            <w:noProof/>
            <w:webHidden/>
          </w:rPr>
          <w:instrText xml:space="preserve"> PAGEREF _Toc195538161 \h </w:instrText>
        </w:r>
        <w:r>
          <w:rPr>
            <w:noProof/>
            <w:webHidden/>
          </w:rPr>
        </w:r>
        <w:r>
          <w:rPr>
            <w:noProof/>
            <w:webHidden/>
          </w:rPr>
          <w:fldChar w:fldCharType="separate"/>
        </w:r>
        <w:r>
          <w:rPr>
            <w:noProof/>
            <w:webHidden/>
          </w:rPr>
          <w:t>27</w:t>
        </w:r>
        <w:r>
          <w:rPr>
            <w:noProof/>
            <w:webHidden/>
          </w:rPr>
          <w:fldChar w:fldCharType="end"/>
        </w:r>
      </w:hyperlink>
    </w:p>
    <w:p w14:paraId="4D10864F" w14:textId="74DC849C"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62" w:history="1">
        <w:r w:rsidRPr="00F87D47">
          <w:rPr>
            <w:rStyle w:val="Hyperlink"/>
            <w:rFonts w:cs="Arial"/>
            <w:noProof/>
          </w:rPr>
          <w:t>Awareness is not the same as action</w:t>
        </w:r>
        <w:r>
          <w:rPr>
            <w:noProof/>
            <w:webHidden/>
          </w:rPr>
          <w:tab/>
        </w:r>
        <w:r>
          <w:rPr>
            <w:noProof/>
            <w:webHidden/>
          </w:rPr>
          <w:fldChar w:fldCharType="begin"/>
        </w:r>
        <w:r>
          <w:rPr>
            <w:noProof/>
            <w:webHidden/>
          </w:rPr>
          <w:instrText xml:space="preserve"> PAGEREF _Toc195538162 \h </w:instrText>
        </w:r>
        <w:r>
          <w:rPr>
            <w:noProof/>
            <w:webHidden/>
          </w:rPr>
        </w:r>
        <w:r>
          <w:rPr>
            <w:noProof/>
            <w:webHidden/>
          </w:rPr>
          <w:fldChar w:fldCharType="separate"/>
        </w:r>
        <w:r>
          <w:rPr>
            <w:noProof/>
            <w:webHidden/>
          </w:rPr>
          <w:t>30</w:t>
        </w:r>
        <w:r>
          <w:rPr>
            <w:noProof/>
            <w:webHidden/>
          </w:rPr>
          <w:fldChar w:fldCharType="end"/>
        </w:r>
      </w:hyperlink>
    </w:p>
    <w:p w14:paraId="0DFD6908" w14:textId="171ECAAB"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63" w:history="1">
        <w:r w:rsidRPr="00F87D47">
          <w:rPr>
            <w:rStyle w:val="Hyperlink"/>
            <w:rFonts w:cs="Arial"/>
            <w:noProof/>
          </w:rPr>
          <w:t>Publishing’s self-image</w:t>
        </w:r>
        <w:r>
          <w:rPr>
            <w:noProof/>
            <w:webHidden/>
          </w:rPr>
          <w:tab/>
        </w:r>
        <w:r>
          <w:rPr>
            <w:noProof/>
            <w:webHidden/>
          </w:rPr>
          <w:fldChar w:fldCharType="begin"/>
        </w:r>
        <w:r>
          <w:rPr>
            <w:noProof/>
            <w:webHidden/>
          </w:rPr>
          <w:instrText xml:space="preserve"> PAGEREF _Toc195538163 \h </w:instrText>
        </w:r>
        <w:r>
          <w:rPr>
            <w:noProof/>
            <w:webHidden/>
          </w:rPr>
        </w:r>
        <w:r>
          <w:rPr>
            <w:noProof/>
            <w:webHidden/>
          </w:rPr>
          <w:fldChar w:fldCharType="separate"/>
        </w:r>
        <w:r>
          <w:rPr>
            <w:noProof/>
            <w:webHidden/>
          </w:rPr>
          <w:t>32</w:t>
        </w:r>
        <w:r>
          <w:rPr>
            <w:noProof/>
            <w:webHidden/>
          </w:rPr>
          <w:fldChar w:fldCharType="end"/>
        </w:r>
      </w:hyperlink>
    </w:p>
    <w:p w14:paraId="4DB313B3" w14:textId="0973DCD9" w:rsidR="00715DA1" w:rsidRDefault="00715DA1">
      <w:pPr>
        <w:pStyle w:val="TOC2"/>
        <w:tabs>
          <w:tab w:val="right" w:leader="dot" w:pos="9016"/>
        </w:tabs>
        <w:rPr>
          <w:rFonts w:eastAsiaTheme="minorEastAsia" w:cstheme="minorBidi"/>
          <w:smallCaps w:val="0"/>
          <w:noProof/>
          <w:kern w:val="2"/>
          <w:sz w:val="24"/>
          <w:szCs w:val="24"/>
          <w:lang w:eastAsia="en-GB"/>
          <w14:ligatures w14:val="standardContextual"/>
        </w:rPr>
      </w:pPr>
      <w:hyperlink w:anchor="_Toc195538164" w:history="1">
        <w:r w:rsidRPr="00F87D47">
          <w:rPr>
            <w:rStyle w:val="Hyperlink"/>
            <w:rFonts w:cs="Arial"/>
            <w:noProof/>
          </w:rPr>
          <w:t>Summary</w:t>
        </w:r>
        <w:r>
          <w:rPr>
            <w:noProof/>
            <w:webHidden/>
          </w:rPr>
          <w:tab/>
        </w:r>
        <w:r>
          <w:rPr>
            <w:noProof/>
            <w:webHidden/>
          </w:rPr>
          <w:fldChar w:fldCharType="begin"/>
        </w:r>
        <w:r>
          <w:rPr>
            <w:noProof/>
            <w:webHidden/>
          </w:rPr>
          <w:instrText xml:space="preserve"> PAGEREF _Toc195538164 \h </w:instrText>
        </w:r>
        <w:r>
          <w:rPr>
            <w:noProof/>
            <w:webHidden/>
          </w:rPr>
        </w:r>
        <w:r>
          <w:rPr>
            <w:noProof/>
            <w:webHidden/>
          </w:rPr>
          <w:fldChar w:fldCharType="separate"/>
        </w:r>
        <w:r>
          <w:rPr>
            <w:noProof/>
            <w:webHidden/>
          </w:rPr>
          <w:t>33</w:t>
        </w:r>
        <w:r>
          <w:rPr>
            <w:noProof/>
            <w:webHidden/>
          </w:rPr>
          <w:fldChar w:fldCharType="end"/>
        </w:r>
      </w:hyperlink>
    </w:p>
    <w:p w14:paraId="6A0791EA" w14:textId="1467EA13"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65" w:history="1">
        <w:r w:rsidRPr="00F87D47">
          <w:rPr>
            <w:rStyle w:val="Hyperlink"/>
            <w:rFonts w:ascii="Arial" w:hAnsi="Arial" w:cs="Arial"/>
            <w:noProof/>
          </w:rPr>
          <w:t>Industry recommendations</w:t>
        </w:r>
        <w:r>
          <w:rPr>
            <w:noProof/>
            <w:webHidden/>
          </w:rPr>
          <w:tab/>
        </w:r>
        <w:r>
          <w:rPr>
            <w:noProof/>
            <w:webHidden/>
          </w:rPr>
          <w:fldChar w:fldCharType="begin"/>
        </w:r>
        <w:r>
          <w:rPr>
            <w:noProof/>
            <w:webHidden/>
          </w:rPr>
          <w:instrText xml:space="preserve"> PAGEREF _Toc195538165 \h </w:instrText>
        </w:r>
        <w:r>
          <w:rPr>
            <w:noProof/>
            <w:webHidden/>
          </w:rPr>
        </w:r>
        <w:r>
          <w:rPr>
            <w:noProof/>
            <w:webHidden/>
          </w:rPr>
          <w:fldChar w:fldCharType="separate"/>
        </w:r>
        <w:r>
          <w:rPr>
            <w:noProof/>
            <w:webHidden/>
          </w:rPr>
          <w:t>35</w:t>
        </w:r>
        <w:r>
          <w:rPr>
            <w:noProof/>
            <w:webHidden/>
          </w:rPr>
          <w:fldChar w:fldCharType="end"/>
        </w:r>
      </w:hyperlink>
    </w:p>
    <w:p w14:paraId="3F75C0AF" w14:textId="1E2F47FF"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66" w:history="1">
        <w:r w:rsidRPr="00F87D47">
          <w:rPr>
            <w:rStyle w:val="Hyperlink"/>
            <w:rFonts w:ascii="Arial" w:hAnsi="Arial" w:cs="Arial"/>
            <w:noProof/>
          </w:rPr>
          <w:t>Conclusion</w:t>
        </w:r>
        <w:r>
          <w:rPr>
            <w:noProof/>
            <w:webHidden/>
          </w:rPr>
          <w:tab/>
        </w:r>
        <w:r>
          <w:rPr>
            <w:noProof/>
            <w:webHidden/>
          </w:rPr>
          <w:fldChar w:fldCharType="begin"/>
        </w:r>
        <w:r>
          <w:rPr>
            <w:noProof/>
            <w:webHidden/>
          </w:rPr>
          <w:instrText xml:space="preserve"> PAGEREF _Toc195538166 \h </w:instrText>
        </w:r>
        <w:r>
          <w:rPr>
            <w:noProof/>
            <w:webHidden/>
          </w:rPr>
        </w:r>
        <w:r>
          <w:rPr>
            <w:noProof/>
            <w:webHidden/>
          </w:rPr>
          <w:fldChar w:fldCharType="separate"/>
        </w:r>
        <w:r>
          <w:rPr>
            <w:noProof/>
            <w:webHidden/>
          </w:rPr>
          <w:t>38</w:t>
        </w:r>
        <w:r>
          <w:rPr>
            <w:noProof/>
            <w:webHidden/>
          </w:rPr>
          <w:fldChar w:fldCharType="end"/>
        </w:r>
      </w:hyperlink>
    </w:p>
    <w:p w14:paraId="236DCB06" w14:textId="5A806750"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67" w:history="1">
        <w:r w:rsidRPr="00F87D47">
          <w:rPr>
            <w:rStyle w:val="Hyperlink"/>
            <w:rFonts w:ascii="Arial" w:hAnsi="Arial" w:cs="Arial"/>
            <w:noProof/>
          </w:rPr>
          <w:t>Acknowledgements</w:t>
        </w:r>
        <w:r>
          <w:rPr>
            <w:noProof/>
            <w:webHidden/>
          </w:rPr>
          <w:tab/>
        </w:r>
        <w:r>
          <w:rPr>
            <w:noProof/>
            <w:webHidden/>
          </w:rPr>
          <w:fldChar w:fldCharType="begin"/>
        </w:r>
        <w:r>
          <w:rPr>
            <w:noProof/>
            <w:webHidden/>
          </w:rPr>
          <w:instrText xml:space="preserve"> PAGEREF _Toc195538167 \h </w:instrText>
        </w:r>
        <w:r>
          <w:rPr>
            <w:noProof/>
            <w:webHidden/>
          </w:rPr>
        </w:r>
        <w:r>
          <w:rPr>
            <w:noProof/>
            <w:webHidden/>
          </w:rPr>
          <w:fldChar w:fldCharType="separate"/>
        </w:r>
        <w:r>
          <w:rPr>
            <w:noProof/>
            <w:webHidden/>
          </w:rPr>
          <w:t>39</w:t>
        </w:r>
        <w:r>
          <w:rPr>
            <w:noProof/>
            <w:webHidden/>
          </w:rPr>
          <w:fldChar w:fldCharType="end"/>
        </w:r>
      </w:hyperlink>
    </w:p>
    <w:p w14:paraId="461269AA" w14:textId="04A2B593" w:rsidR="00715DA1" w:rsidRDefault="00715DA1">
      <w:pPr>
        <w:pStyle w:val="TOC1"/>
        <w:tabs>
          <w:tab w:val="right" w:leader="dot" w:pos="9016"/>
        </w:tabs>
        <w:rPr>
          <w:rFonts w:eastAsiaTheme="minorEastAsia" w:cstheme="minorBidi"/>
          <w:b w:val="0"/>
          <w:bCs w:val="0"/>
          <w:caps w:val="0"/>
          <w:noProof/>
          <w:kern w:val="2"/>
          <w:sz w:val="24"/>
          <w:szCs w:val="24"/>
          <w:lang w:eastAsia="en-GB"/>
          <w14:ligatures w14:val="standardContextual"/>
        </w:rPr>
      </w:pPr>
      <w:hyperlink w:anchor="_Toc195538168" w:history="1">
        <w:r w:rsidRPr="00F87D47">
          <w:rPr>
            <w:rStyle w:val="Hyperlink"/>
            <w:rFonts w:ascii="Arial" w:hAnsi="Arial" w:cs="Arial"/>
            <w:noProof/>
          </w:rPr>
          <w:t>Notes &amp; References</w:t>
        </w:r>
        <w:r>
          <w:rPr>
            <w:noProof/>
            <w:webHidden/>
          </w:rPr>
          <w:tab/>
        </w:r>
        <w:r>
          <w:rPr>
            <w:noProof/>
            <w:webHidden/>
          </w:rPr>
          <w:fldChar w:fldCharType="begin"/>
        </w:r>
        <w:r>
          <w:rPr>
            <w:noProof/>
            <w:webHidden/>
          </w:rPr>
          <w:instrText xml:space="preserve"> PAGEREF _Toc195538168 \h </w:instrText>
        </w:r>
        <w:r>
          <w:rPr>
            <w:noProof/>
            <w:webHidden/>
          </w:rPr>
        </w:r>
        <w:r>
          <w:rPr>
            <w:noProof/>
            <w:webHidden/>
          </w:rPr>
          <w:fldChar w:fldCharType="separate"/>
        </w:r>
        <w:r>
          <w:rPr>
            <w:noProof/>
            <w:webHidden/>
          </w:rPr>
          <w:t>39</w:t>
        </w:r>
        <w:r>
          <w:rPr>
            <w:noProof/>
            <w:webHidden/>
          </w:rPr>
          <w:fldChar w:fldCharType="end"/>
        </w:r>
      </w:hyperlink>
    </w:p>
    <w:p w14:paraId="54F75646" w14:textId="4B6C7959" w:rsidR="00255D82" w:rsidRPr="001E0710" w:rsidRDefault="00255D82">
      <w:pPr>
        <w:rPr>
          <w:rFonts w:cs="Arial"/>
        </w:rPr>
      </w:pPr>
      <w:r w:rsidRPr="001E0710">
        <w:rPr>
          <w:rFonts w:cs="Arial"/>
        </w:rPr>
        <w:fldChar w:fldCharType="end"/>
      </w:r>
    </w:p>
    <w:p w14:paraId="66BF298E" w14:textId="52F325A0" w:rsidR="00704C08" w:rsidRPr="001E0710" w:rsidRDefault="00000000">
      <w:pPr>
        <w:rPr>
          <w:rFonts w:cs="Arial"/>
          <w:sz w:val="32"/>
          <w:szCs w:val="32"/>
        </w:rPr>
      </w:pPr>
      <w:r w:rsidRPr="001E0710">
        <w:rPr>
          <w:rFonts w:cs="Arial"/>
        </w:rPr>
        <w:br w:type="page"/>
      </w:r>
    </w:p>
    <w:p w14:paraId="67FCC717" w14:textId="77777777" w:rsidR="0088272B" w:rsidRPr="001E0710" w:rsidRDefault="00000000" w:rsidP="001E678E">
      <w:pPr>
        <w:pStyle w:val="Heading1"/>
        <w:rPr>
          <w:rFonts w:ascii="Arial" w:hAnsi="Arial" w:cs="Arial"/>
        </w:rPr>
      </w:pPr>
      <w:bookmarkStart w:id="1" w:name="_Toc180580120"/>
      <w:bookmarkStart w:id="2" w:name="_Toc195538136"/>
      <w:r w:rsidRPr="001E0710">
        <w:rPr>
          <w:rFonts w:ascii="Arial" w:hAnsi="Arial" w:cs="Arial"/>
        </w:rPr>
        <w:lastRenderedPageBreak/>
        <w:t>Executive Summary</w:t>
      </w:r>
      <w:bookmarkEnd w:id="1"/>
      <w:bookmarkEnd w:id="2"/>
    </w:p>
    <w:p w14:paraId="4EAA1376" w14:textId="206B07B2" w:rsidR="00704C08" w:rsidRPr="001E0710" w:rsidRDefault="0099173B" w:rsidP="00F92FC8">
      <w:pPr>
        <w:pStyle w:val="Heading2"/>
        <w:rPr>
          <w:rFonts w:cs="Arial"/>
        </w:rPr>
      </w:pPr>
      <w:bookmarkStart w:id="3" w:name="_Toc195538137"/>
      <w:r>
        <w:rPr>
          <w:rFonts w:cs="Arial"/>
        </w:rPr>
        <w:t>Introduction</w:t>
      </w:r>
      <w:bookmarkEnd w:id="3"/>
    </w:p>
    <w:p w14:paraId="00410A6F" w14:textId="4512FBEC" w:rsidR="00704C08" w:rsidRPr="001E0710" w:rsidRDefault="0035021D" w:rsidP="00F34FD5">
      <w:pPr>
        <w:pStyle w:val="ListParagraph"/>
        <w:numPr>
          <w:ilvl w:val="0"/>
          <w:numId w:val="5"/>
        </w:numPr>
        <w:jc w:val="both"/>
        <w:rPr>
          <w:rFonts w:cs="Arial"/>
          <w:szCs w:val="24"/>
        </w:rPr>
      </w:pPr>
      <w:r w:rsidRPr="001E0710">
        <w:rPr>
          <w:rFonts w:cs="Arial"/>
          <w:szCs w:val="24"/>
        </w:rPr>
        <w:t>This project</w:t>
      </w:r>
      <w:r w:rsidR="0088272B" w:rsidRPr="001E0710">
        <w:rPr>
          <w:rFonts w:cs="Arial"/>
          <w:szCs w:val="24"/>
        </w:rPr>
        <w:t xml:space="preserve"> examines</w:t>
      </w:r>
      <w:r w:rsidRPr="001E0710">
        <w:rPr>
          <w:rFonts w:cs="Arial"/>
          <w:szCs w:val="24"/>
        </w:rPr>
        <w:t xml:space="preserve"> whether women are at a disadvantage in the contemporary Scottish literary sector</w:t>
      </w:r>
      <w:r w:rsidR="000237DB" w:rsidRPr="001E0710">
        <w:rPr>
          <w:rFonts w:cs="Arial"/>
          <w:szCs w:val="24"/>
        </w:rPr>
        <w:t xml:space="preserve"> </w:t>
      </w:r>
      <w:r w:rsidRPr="001E0710">
        <w:rPr>
          <w:rFonts w:cs="Arial"/>
          <w:szCs w:val="24"/>
        </w:rPr>
        <w:t xml:space="preserve">and how we can move towards a more </w:t>
      </w:r>
      <w:r w:rsidR="0085765B" w:rsidRPr="001E0710">
        <w:rPr>
          <w:rFonts w:cs="Arial"/>
          <w:szCs w:val="24"/>
        </w:rPr>
        <w:t xml:space="preserve">equitable </w:t>
      </w:r>
      <w:r w:rsidRPr="001E0710">
        <w:rPr>
          <w:rFonts w:cs="Arial"/>
          <w:szCs w:val="24"/>
        </w:rPr>
        <w:t>future.</w:t>
      </w:r>
    </w:p>
    <w:p w14:paraId="5A3A0716" w14:textId="1D0E39DA" w:rsidR="00704C08" w:rsidRPr="001E0710" w:rsidRDefault="0088272B" w:rsidP="00F34FD5">
      <w:pPr>
        <w:pStyle w:val="ListParagraph"/>
        <w:numPr>
          <w:ilvl w:val="0"/>
          <w:numId w:val="5"/>
        </w:numPr>
        <w:jc w:val="both"/>
        <w:rPr>
          <w:rFonts w:cs="Arial"/>
          <w:szCs w:val="24"/>
        </w:rPr>
      </w:pPr>
      <w:r w:rsidRPr="001E0710">
        <w:rPr>
          <w:rFonts w:cs="Arial"/>
          <w:szCs w:val="24"/>
        </w:rPr>
        <w:t xml:space="preserve">To do this, I conducted interviews with </w:t>
      </w:r>
      <w:r w:rsidR="000237DB" w:rsidRPr="001E0710">
        <w:rPr>
          <w:rFonts w:cs="Arial"/>
          <w:szCs w:val="24"/>
        </w:rPr>
        <w:t>tastemakers</w:t>
      </w:r>
      <w:r w:rsidRPr="001E0710">
        <w:rPr>
          <w:rFonts w:cs="Arial"/>
          <w:szCs w:val="24"/>
        </w:rPr>
        <w:t xml:space="preserve"> leading Scottish literary organisations, and counted the </w:t>
      </w:r>
      <w:r w:rsidR="0099173B">
        <w:rPr>
          <w:rFonts w:cs="Arial"/>
          <w:szCs w:val="24"/>
        </w:rPr>
        <w:t xml:space="preserve">authors’ </w:t>
      </w:r>
      <w:r w:rsidR="000237DB" w:rsidRPr="001E0710">
        <w:rPr>
          <w:rFonts w:cs="Arial"/>
          <w:szCs w:val="24"/>
        </w:rPr>
        <w:t xml:space="preserve">gender </w:t>
      </w:r>
      <w:r w:rsidR="0099173B">
        <w:rPr>
          <w:rFonts w:cs="Arial"/>
          <w:szCs w:val="24"/>
        </w:rPr>
        <w:t>in</w:t>
      </w:r>
      <w:r w:rsidR="00726409">
        <w:rPr>
          <w:rFonts w:cs="Arial"/>
          <w:szCs w:val="24"/>
        </w:rPr>
        <w:t xml:space="preserve"> books</w:t>
      </w:r>
      <w:r w:rsidRPr="001E0710">
        <w:rPr>
          <w:rFonts w:cs="Arial"/>
          <w:szCs w:val="24"/>
        </w:rPr>
        <w:t xml:space="preserve"> published, books reviewed, festival events (2017-2019), and prizes won (</w:t>
      </w:r>
      <w:r w:rsidR="00F346C8">
        <w:rPr>
          <w:rFonts w:cs="Arial"/>
          <w:szCs w:val="24"/>
        </w:rPr>
        <w:t>1919</w:t>
      </w:r>
      <w:r w:rsidRPr="001E0710">
        <w:rPr>
          <w:rFonts w:cs="Arial"/>
          <w:szCs w:val="24"/>
        </w:rPr>
        <w:t>-2024).</w:t>
      </w:r>
    </w:p>
    <w:p w14:paraId="4CBD6962" w14:textId="0ABDB709" w:rsidR="0088272B" w:rsidRPr="001E0710" w:rsidRDefault="0088272B" w:rsidP="00F34FD5">
      <w:pPr>
        <w:pStyle w:val="ListParagraph"/>
        <w:numPr>
          <w:ilvl w:val="0"/>
          <w:numId w:val="5"/>
        </w:numPr>
        <w:jc w:val="both"/>
        <w:rPr>
          <w:rFonts w:cs="Arial"/>
          <w:szCs w:val="24"/>
        </w:rPr>
      </w:pPr>
      <w:r w:rsidRPr="001E0710">
        <w:rPr>
          <w:rFonts w:cs="Arial"/>
          <w:szCs w:val="24"/>
        </w:rPr>
        <w:t>I first did this research</w:t>
      </w:r>
      <w:r w:rsidR="0035021D" w:rsidRPr="001E0710">
        <w:rPr>
          <w:rFonts w:cs="Arial"/>
          <w:szCs w:val="24"/>
        </w:rPr>
        <w:t xml:space="preserve"> as part of a PhD thesis across several institutions, including the University of Stirling, the University of Glasgow</w:t>
      </w:r>
      <w:r w:rsidR="002D12DE" w:rsidRPr="001E0710">
        <w:rPr>
          <w:rFonts w:cs="Arial"/>
          <w:szCs w:val="24"/>
        </w:rPr>
        <w:t>,</w:t>
      </w:r>
      <w:r w:rsidR="0035021D" w:rsidRPr="001E0710">
        <w:rPr>
          <w:rFonts w:cs="Arial"/>
          <w:szCs w:val="24"/>
        </w:rPr>
        <w:t xml:space="preserve"> and Scottish Book Trust, from 2017-2023. </w:t>
      </w:r>
      <w:r w:rsidRPr="001E0710">
        <w:rPr>
          <w:rFonts w:cs="Arial"/>
          <w:szCs w:val="24"/>
        </w:rPr>
        <w:t>The work</w:t>
      </w:r>
      <w:r w:rsidR="0035021D" w:rsidRPr="001E0710">
        <w:rPr>
          <w:rFonts w:cs="Arial"/>
          <w:szCs w:val="24"/>
        </w:rPr>
        <w:t xml:space="preserve"> was funded by a Creative Economies Studentship from the Scottish Graduate School for Arts and Humanities (SGSAH) and the Arts and Humanities Research Council (AHRC). </w:t>
      </w:r>
      <w:r w:rsidRPr="001E0710">
        <w:rPr>
          <w:rFonts w:cs="Arial"/>
          <w:szCs w:val="24"/>
        </w:rPr>
        <w:t xml:space="preserve">This report is a summary of </w:t>
      </w:r>
      <w:r w:rsidR="0099173B">
        <w:rPr>
          <w:rFonts w:cs="Arial"/>
          <w:szCs w:val="24"/>
        </w:rPr>
        <w:t>my</w:t>
      </w:r>
      <w:r w:rsidRPr="001E0710">
        <w:rPr>
          <w:rFonts w:cs="Arial"/>
          <w:szCs w:val="24"/>
        </w:rPr>
        <w:t xml:space="preserve"> main findings.</w:t>
      </w:r>
    </w:p>
    <w:p w14:paraId="448EC529" w14:textId="333B4622" w:rsidR="00D86B71" w:rsidRPr="001E0710" w:rsidRDefault="00046392" w:rsidP="00F92FC8">
      <w:pPr>
        <w:pStyle w:val="Heading2"/>
        <w:rPr>
          <w:rFonts w:cs="Arial"/>
        </w:rPr>
      </w:pPr>
      <w:bookmarkStart w:id="4" w:name="_Toc195538138"/>
      <w:r w:rsidRPr="001E0710">
        <w:rPr>
          <w:rFonts w:cs="Arial"/>
        </w:rPr>
        <w:t>The Numbers</w:t>
      </w:r>
      <w:bookmarkEnd w:id="4"/>
    </w:p>
    <w:p w14:paraId="7AB14355" w14:textId="30D81D73" w:rsidR="00F34FD5" w:rsidRPr="001E0710" w:rsidRDefault="00E560CC" w:rsidP="00F34FD5">
      <w:pPr>
        <w:pStyle w:val="Heading3"/>
        <w:rPr>
          <w:rFonts w:cs="Arial"/>
        </w:rPr>
      </w:pPr>
      <w:bookmarkStart w:id="5" w:name="_Toc195538139"/>
      <w:r w:rsidRPr="001E0710">
        <w:rPr>
          <w:rFonts w:cs="Arial"/>
        </w:rPr>
        <w:t xml:space="preserve">Literary prizes: </w:t>
      </w:r>
      <w:r w:rsidR="00F346C8">
        <w:rPr>
          <w:rFonts w:cs="Arial"/>
        </w:rPr>
        <w:t>1919</w:t>
      </w:r>
      <w:r w:rsidRPr="001E0710">
        <w:rPr>
          <w:rFonts w:cs="Arial"/>
        </w:rPr>
        <w:t>-2024</w:t>
      </w:r>
      <w:bookmarkEnd w:id="5"/>
    </w:p>
    <w:p w14:paraId="42FA7956" w14:textId="668AC1AD" w:rsidR="00E560CC" w:rsidRPr="001E0710" w:rsidRDefault="0099173B" w:rsidP="001E0710">
      <w:pPr>
        <w:pStyle w:val="ListParagraph"/>
        <w:numPr>
          <w:ilvl w:val="0"/>
          <w:numId w:val="14"/>
        </w:numPr>
        <w:rPr>
          <w:rFonts w:cs="Arial"/>
        </w:rPr>
      </w:pPr>
      <w:r>
        <w:rPr>
          <w:rFonts w:cs="Arial"/>
        </w:rPr>
        <w:t xml:space="preserve">From </w:t>
      </w:r>
      <w:r w:rsidR="00F346C8">
        <w:rPr>
          <w:rFonts w:cs="Arial"/>
        </w:rPr>
        <w:t>1919</w:t>
      </w:r>
      <w:r>
        <w:rPr>
          <w:rFonts w:cs="Arial"/>
        </w:rPr>
        <w:t>-2024,</w:t>
      </w:r>
      <w:r w:rsidR="00E560CC" w:rsidRPr="001E0710">
        <w:rPr>
          <w:rFonts w:cs="Arial"/>
        </w:rPr>
        <w:t xml:space="preserve"> 12 Scottish literary prizes</w:t>
      </w:r>
      <w:r>
        <w:rPr>
          <w:rFonts w:cs="Arial"/>
        </w:rPr>
        <w:t xml:space="preserve"> were won by men </w:t>
      </w:r>
      <w:r w:rsidR="00E560CC" w:rsidRPr="001E0710">
        <w:rPr>
          <w:rFonts w:cs="Arial"/>
        </w:rPr>
        <w:t>nearly twice as often as women</w:t>
      </w:r>
      <w:r w:rsidR="005E6BD8" w:rsidRPr="001E0710">
        <w:rPr>
          <w:rFonts w:cs="Arial"/>
        </w:rPr>
        <w:t>.</w:t>
      </w:r>
      <w:r w:rsidR="00E560CC" w:rsidRPr="001E0710">
        <w:rPr>
          <w:rFonts w:cs="Arial"/>
        </w:rPr>
        <w:t xml:space="preserve"> </w:t>
      </w:r>
      <w:r w:rsidR="005E6BD8" w:rsidRPr="001E0710">
        <w:rPr>
          <w:rFonts w:cs="Arial"/>
        </w:rPr>
        <w:t xml:space="preserve">There were </w:t>
      </w:r>
      <w:r w:rsidR="00304C21">
        <w:rPr>
          <w:rFonts w:cs="Arial"/>
        </w:rPr>
        <w:t>302</w:t>
      </w:r>
      <w:r w:rsidR="00E560CC" w:rsidRPr="001E0710">
        <w:rPr>
          <w:rFonts w:cs="Arial"/>
        </w:rPr>
        <w:t xml:space="preserve"> </w:t>
      </w:r>
      <w:r w:rsidR="005E6BD8" w:rsidRPr="001E0710">
        <w:rPr>
          <w:rFonts w:cs="Arial"/>
        </w:rPr>
        <w:t>(</w:t>
      </w:r>
      <w:r w:rsidR="00E560CC" w:rsidRPr="001E0710">
        <w:rPr>
          <w:rFonts w:cs="Arial"/>
        </w:rPr>
        <w:t>6</w:t>
      </w:r>
      <w:r w:rsidR="00304C21">
        <w:rPr>
          <w:rFonts w:cs="Arial"/>
        </w:rPr>
        <w:t>5.9</w:t>
      </w:r>
      <w:r w:rsidR="00E560CC" w:rsidRPr="001E0710">
        <w:rPr>
          <w:rFonts w:cs="Arial"/>
        </w:rPr>
        <w:t>%</w:t>
      </w:r>
      <w:r w:rsidR="005E6BD8" w:rsidRPr="001E0710">
        <w:rPr>
          <w:rFonts w:cs="Arial"/>
        </w:rPr>
        <w:t>)</w:t>
      </w:r>
      <w:r w:rsidR="00E560CC" w:rsidRPr="001E0710">
        <w:rPr>
          <w:rFonts w:cs="Arial"/>
        </w:rPr>
        <w:t xml:space="preserve"> male winners, </w:t>
      </w:r>
      <w:r w:rsidR="00304C21">
        <w:rPr>
          <w:rFonts w:cs="Arial"/>
        </w:rPr>
        <w:t>153</w:t>
      </w:r>
      <w:r w:rsidR="00E560CC" w:rsidRPr="001E0710">
        <w:rPr>
          <w:rFonts w:cs="Arial"/>
        </w:rPr>
        <w:t xml:space="preserve"> </w:t>
      </w:r>
      <w:r w:rsidR="005E6BD8" w:rsidRPr="001E0710">
        <w:rPr>
          <w:rFonts w:cs="Arial"/>
        </w:rPr>
        <w:t>(</w:t>
      </w:r>
      <w:r w:rsidR="00E560CC" w:rsidRPr="001E0710">
        <w:rPr>
          <w:rFonts w:cs="Arial"/>
        </w:rPr>
        <w:t>3</w:t>
      </w:r>
      <w:r w:rsidR="00304C21">
        <w:rPr>
          <w:rFonts w:cs="Arial"/>
        </w:rPr>
        <w:t>3.4</w:t>
      </w:r>
      <w:r w:rsidR="00E560CC" w:rsidRPr="001E0710">
        <w:rPr>
          <w:rFonts w:cs="Arial"/>
        </w:rPr>
        <w:t>%</w:t>
      </w:r>
      <w:r w:rsidR="005E6BD8" w:rsidRPr="001E0710">
        <w:rPr>
          <w:rFonts w:cs="Arial"/>
        </w:rPr>
        <w:t>)</w:t>
      </w:r>
      <w:r w:rsidR="00E560CC" w:rsidRPr="001E0710">
        <w:rPr>
          <w:rFonts w:cs="Arial"/>
        </w:rPr>
        <w:t xml:space="preserve"> female winners, </w:t>
      </w:r>
      <w:r w:rsidR="005E6BD8" w:rsidRPr="001E0710">
        <w:rPr>
          <w:rFonts w:cs="Arial"/>
        </w:rPr>
        <w:t xml:space="preserve">and </w:t>
      </w:r>
      <w:r w:rsidR="009E2487" w:rsidRPr="001E0710">
        <w:rPr>
          <w:rFonts w:cs="Arial"/>
        </w:rPr>
        <w:t>3</w:t>
      </w:r>
      <w:r w:rsidR="00E560CC" w:rsidRPr="001E0710">
        <w:rPr>
          <w:rFonts w:cs="Arial"/>
        </w:rPr>
        <w:t xml:space="preserve"> </w:t>
      </w:r>
      <w:r w:rsidR="005E6BD8" w:rsidRPr="001E0710">
        <w:rPr>
          <w:rFonts w:cs="Arial"/>
        </w:rPr>
        <w:t>(</w:t>
      </w:r>
      <w:r w:rsidR="00304C21">
        <w:rPr>
          <w:rFonts w:cs="Arial"/>
        </w:rPr>
        <w:t>0.7</w:t>
      </w:r>
      <w:r w:rsidR="00E560CC" w:rsidRPr="001E0710">
        <w:rPr>
          <w:rFonts w:cs="Arial"/>
        </w:rPr>
        <w:t>%</w:t>
      </w:r>
      <w:r w:rsidR="005E6BD8" w:rsidRPr="001E0710">
        <w:rPr>
          <w:rFonts w:cs="Arial"/>
        </w:rPr>
        <w:t>)</w:t>
      </w:r>
      <w:r w:rsidR="00E560CC" w:rsidRPr="001E0710">
        <w:rPr>
          <w:rFonts w:cs="Arial"/>
        </w:rPr>
        <w:t xml:space="preserve"> non-binary winners.</w:t>
      </w:r>
    </w:p>
    <w:p w14:paraId="51F368A8" w14:textId="635C2ED0" w:rsidR="00E560CC" w:rsidRPr="00DB0375" w:rsidRDefault="00E560CC" w:rsidP="00F34FD5">
      <w:pPr>
        <w:pStyle w:val="ListParagraph"/>
        <w:numPr>
          <w:ilvl w:val="0"/>
          <w:numId w:val="5"/>
        </w:numPr>
        <w:jc w:val="both"/>
        <w:rPr>
          <w:rFonts w:cs="Arial"/>
        </w:rPr>
      </w:pPr>
      <w:r w:rsidRPr="001E0710">
        <w:rPr>
          <w:rFonts w:cs="Arial"/>
        </w:rPr>
        <w:t xml:space="preserve">Of the </w:t>
      </w:r>
      <w:r w:rsidR="009E2487" w:rsidRPr="001E0710">
        <w:rPr>
          <w:rFonts w:cs="Arial"/>
        </w:rPr>
        <w:t>45</w:t>
      </w:r>
      <w:r w:rsidR="00304C21">
        <w:rPr>
          <w:rFonts w:cs="Arial"/>
        </w:rPr>
        <w:t>8</w:t>
      </w:r>
      <w:r w:rsidRPr="001E0710">
        <w:rPr>
          <w:rFonts w:cs="Arial"/>
        </w:rPr>
        <w:t xml:space="preserve"> winners over this time period across these 12 prizes, only </w:t>
      </w:r>
      <w:r w:rsidR="0035653E">
        <w:rPr>
          <w:rFonts w:cs="Arial"/>
        </w:rPr>
        <w:t>21</w:t>
      </w:r>
      <w:r w:rsidRPr="001E0710">
        <w:rPr>
          <w:rFonts w:cs="Arial"/>
        </w:rPr>
        <w:t xml:space="preserve"> (4</w:t>
      </w:r>
      <w:r w:rsidR="0035653E">
        <w:rPr>
          <w:rFonts w:cs="Arial"/>
        </w:rPr>
        <w:t>.6</w:t>
      </w:r>
      <w:r w:rsidRPr="001E0710">
        <w:rPr>
          <w:rFonts w:cs="Arial"/>
        </w:rPr>
        <w:t xml:space="preserve">%) winners were </w:t>
      </w:r>
      <w:r w:rsidR="0099173B">
        <w:rPr>
          <w:rFonts w:cs="Arial"/>
        </w:rPr>
        <w:t>BPOC</w:t>
      </w:r>
      <w:r w:rsidR="00DB0375" w:rsidRPr="00715DA1">
        <w:rPr>
          <w:rStyle w:val="FootnoteReference"/>
        </w:rPr>
        <w:footnoteReference w:id="1"/>
      </w:r>
      <w:r w:rsidR="0099173B">
        <w:rPr>
          <w:rFonts w:cs="Arial"/>
        </w:rPr>
        <w:t xml:space="preserve"> authors</w:t>
      </w:r>
      <w:r w:rsidR="00471FF7" w:rsidRPr="001E0710">
        <w:rPr>
          <w:rFonts w:cs="Arial"/>
        </w:rPr>
        <w:t>: 8 men, 1</w:t>
      </w:r>
      <w:r w:rsidR="0035653E">
        <w:rPr>
          <w:rFonts w:cs="Arial"/>
        </w:rPr>
        <w:t>2</w:t>
      </w:r>
      <w:r w:rsidR="00471FF7" w:rsidRPr="001E0710">
        <w:rPr>
          <w:rFonts w:cs="Arial"/>
        </w:rPr>
        <w:t xml:space="preserve"> women and 1 non-binary writer</w:t>
      </w:r>
      <w:r w:rsidRPr="001E0710">
        <w:rPr>
          <w:rFonts w:cs="Arial"/>
        </w:rPr>
        <w:t xml:space="preserve">. </w:t>
      </w:r>
      <w:r w:rsidR="009A2A0F">
        <w:rPr>
          <w:rFonts w:cs="Arial"/>
        </w:rPr>
        <w:t xml:space="preserve">In </w:t>
      </w:r>
      <w:r w:rsidRPr="00DB0375">
        <w:rPr>
          <w:rFonts w:cs="Arial"/>
        </w:rPr>
        <w:t xml:space="preserve">92 </w:t>
      </w:r>
      <w:r w:rsidR="005E6BD8" w:rsidRPr="00DB0375">
        <w:rPr>
          <w:rFonts w:cs="Arial"/>
        </w:rPr>
        <w:t xml:space="preserve">shortlists </w:t>
      </w:r>
      <w:r w:rsidRPr="00DB0375">
        <w:rPr>
          <w:rFonts w:cs="Arial"/>
        </w:rPr>
        <w:t>examined</w:t>
      </w:r>
      <w:r w:rsidR="009A2A0F">
        <w:rPr>
          <w:rFonts w:cs="Arial"/>
        </w:rPr>
        <w:t>,</w:t>
      </w:r>
      <w:r w:rsidR="005E6BD8" w:rsidRPr="00715DA1">
        <w:rPr>
          <w:rStyle w:val="FootnoteReference"/>
        </w:rPr>
        <w:footnoteReference w:id="2"/>
      </w:r>
      <w:r w:rsidR="009A2A0F">
        <w:rPr>
          <w:rFonts w:cs="Arial"/>
        </w:rPr>
        <w:t xml:space="preserve"> only 39 (7.8%) of 500 shortlisted authors were BPOC authors.</w:t>
      </w:r>
    </w:p>
    <w:p w14:paraId="569052AF" w14:textId="52D10800" w:rsidR="00471FF7" w:rsidRPr="001E0710" w:rsidRDefault="00471FF7" w:rsidP="00F34FD5">
      <w:pPr>
        <w:pStyle w:val="ListParagraph"/>
        <w:numPr>
          <w:ilvl w:val="0"/>
          <w:numId w:val="5"/>
        </w:numPr>
        <w:jc w:val="both"/>
        <w:rPr>
          <w:rFonts w:cs="Arial"/>
        </w:rPr>
      </w:pPr>
      <w:r w:rsidRPr="001E0710">
        <w:rPr>
          <w:rFonts w:cs="Arial"/>
        </w:rPr>
        <w:t xml:space="preserve">The full report and its </w:t>
      </w:r>
      <w:r w:rsidR="00905A5D">
        <w:rPr>
          <w:rFonts w:cs="Arial"/>
        </w:rPr>
        <w:t>A</w:t>
      </w:r>
      <w:r w:rsidRPr="001E0710">
        <w:rPr>
          <w:rFonts w:cs="Arial"/>
        </w:rPr>
        <w:t>ppendix contain a decade-by-decade and a prize-by-prize breakdown of these figures</w:t>
      </w:r>
      <w:r w:rsidR="005E6BD8" w:rsidRPr="001E0710">
        <w:rPr>
          <w:rFonts w:cs="Arial"/>
        </w:rPr>
        <w:t>.</w:t>
      </w:r>
    </w:p>
    <w:p w14:paraId="5FD60B36" w14:textId="7018F367" w:rsidR="00704C08" w:rsidRPr="001E0710" w:rsidRDefault="00000000" w:rsidP="00F92FC8">
      <w:pPr>
        <w:pStyle w:val="Heading3"/>
        <w:rPr>
          <w:rFonts w:cs="Arial"/>
          <w:szCs w:val="24"/>
        </w:rPr>
      </w:pPr>
      <w:bookmarkStart w:id="6" w:name="_Toc195538140"/>
      <w:r w:rsidRPr="001E0710">
        <w:rPr>
          <w:rFonts w:cs="Arial"/>
        </w:rPr>
        <w:t>Publishing</w:t>
      </w:r>
      <w:bookmarkEnd w:id="6"/>
    </w:p>
    <w:p w14:paraId="31790237" w14:textId="037647BF" w:rsidR="00704C08" w:rsidRPr="001E0710" w:rsidRDefault="000237DB" w:rsidP="00F34FD5">
      <w:pPr>
        <w:pStyle w:val="ListParagraph"/>
        <w:numPr>
          <w:ilvl w:val="0"/>
          <w:numId w:val="5"/>
        </w:numPr>
        <w:jc w:val="both"/>
        <w:rPr>
          <w:rFonts w:cs="Arial"/>
          <w:szCs w:val="24"/>
        </w:rPr>
      </w:pPr>
      <w:r w:rsidRPr="001E0710">
        <w:rPr>
          <w:rFonts w:cs="Arial"/>
        </w:rPr>
        <w:t xml:space="preserve">Scotland-based publishers </w:t>
      </w:r>
      <w:r w:rsidR="00424EA8" w:rsidRPr="001E0710">
        <w:rPr>
          <w:rFonts w:cs="Arial"/>
        </w:rPr>
        <w:t xml:space="preserve">published male authors </w:t>
      </w:r>
      <w:r w:rsidR="00720F50">
        <w:rPr>
          <w:rFonts w:cs="Arial"/>
        </w:rPr>
        <w:t>50% more than</w:t>
      </w:r>
      <w:r w:rsidR="00424EA8" w:rsidRPr="001E0710">
        <w:rPr>
          <w:rFonts w:cs="Arial"/>
        </w:rPr>
        <w:t xml:space="preserve"> female authors in the years 2017-2019. </w:t>
      </w:r>
      <w:r w:rsidR="00046392" w:rsidRPr="001E0710">
        <w:rPr>
          <w:rFonts w:cs="Arial"/>
        </w:rPr>
        <w:t>1,237 (61.3%)</w:t>
      </w:r>
      <w:r w:rsidRPr="001E0710">
        <w:rPr>
          <w:rFonts w:cs="Arial"/>
        </w:rPr>
        <w:t xml:space="preserve"> male authors, </w:t>
      </w:r>
      <w:r w:rsidR="001808E0" w:rsidRPr="001E0710">
        <w:rPr>
          <w:rFonts w:cs="Arial"/>
        </w:rPr>
        <w:t>778</w:t>
      </w:r>
      <w:r w:rsidRPr="001E0710">
        <w:rPr>
          <w:rFonts w:cs="Arial"/>
        </w:rPr>
        <w:t xml:space="preserve"> </w:t>
      </w:r>
      <w:r w:rsidR="00046392" w:rsidRPr="001E0710">
        <w:rPr>
          <w:rFonts w:cs="Arial"/>
        </w:rPr>
        <w:t xml:space="preserve">(38.6%) </w:t>
      </w:r>
      <w:r w:rsidRPr="001E0710">
        <w:rPr>
          <w:rFonts w:cs="Arial"/>
        </w:rPr>
        <w:lastRenderedPageBreak/>
        <w:t>female authors</w:t>
      </w:r>
      <w:r w:rsidR="00046392" w:rsidRPr="001E0710">
        <w:rPr>
          <w:rFonts w:cs="Arial"/>
        </w:rPr>
        <w:t>,</w:t>
      </w:r>
      <w:r w:rsidRPr="001E0710">
        <w:rPr>
          <w:rFonts w:cs="Arial"/>
        </w:rPr>
        <w:t xml:space="preserve"> and </w:t>
      </w:r>
      <w:r w:rsidR="001808E0" w:rsidRPr="001E0710">
        <w:rPr>
          <w:rFonts w:cs="Arial"/>
        </w:rPr>
        <w:t>2</w:t>
      </w:r>
      <w:r w:rsidR="00046392" w:rsidRPr="001E0710">
        <w:rPr>
          <w:rFonts w:cs="Arial"/>
        </w:rPr>
        <w:t xml:space="preserve"> (0.1%) </w:t>
      </w:r>
      <w:r w:rsidRPr="001E0710">
        <w:rPr>
          <w:rFonts w:cs="Arial"/>
        </w:rPr>
        <w:t>non-binary authors</w:t>
      </w:r>
      <w:r w:rsidR="00726409">
        <w:rPr>
          <w:rFonts w:cs="Arial"/>
        </w:rPr>
        <w:t xml:space="preserve"> were published</w:t>
      </w:r>
      <w:r w:rsidR="00046392" w:rsidRPr="001E0710">
        <w:rPr>
          <w:rFonts w:cs="Arial"/>
        </w:rPr>
        <w:t>.</w:t>
      </w:r>
      <w:r w:rsidR="002A1A74">
        <w:rPr>
          <w:rFonts w:cs="Arial"/>
        </w:rPr>
        <w:t xml:space="preserve"> No gender data was available for 67 authors.</w:t>
      </w:r>
    </w:p>
    <w:p w14:paraId="65D21BD6" w14:textId="6BAE6997" w:rsidR="00046392" w:rsidRPr="001E0710" w:rsidRDefault="00000000" w:rsidP="00F34FD5">
      <w:pPr>
        <w:pStyle w:val="ListParagraph"/>
        <w:numPr>
          <w:ilvl w:val="0"/>
          <w:numId w:val="5"/>
        </w:numPr>
        <w:jc w:val="both"/>
        <w:rPr>
          <w:rFonts w:cs="Arial"/>
        </w:rPr>
      </w:pPr>
      <w:r w:rsidRPr="001E0710">
        <w:rPr>
          <w:rFonts w:cs="Arial"/>
          <w:szCs w:val="24"/>
        </w:rPr>
        <w:t xml:space="preserve">Men </w:t>
      </w:r>
      <w:r w:rsidR="00046392" w:rsidRPr="001E0710">
        <w:rPr>
          <w:rFonts w:cs="Arial"/>
          <w:szCs w:val="24"/>
        </w:rPr>
        <w:t>were</w:t>
      </w:r>
      <w:r w:rsidRPr="001E0710">
        <w:rPr>
          <w:rFonts w:cs="Arial"/>
          <w:szCs w:val="24"/>
        </w:rPr>
        <w:t xml:space="preserve"> </w:t>
      </w:r>
      <w:r w:rsidR="00046392" w:rsidRPr="001E0710">
        <w:rPr>
          <w:rFonts w:cs="Arial"/>
          <w:szCs w:val="24"/>
        </w:rPr>
        <w:t>the</w:t>
      </w:r>
      <w:r w:rsidRPr="001E0710">
        <w:rPr>
          <w:rFonts w:cs="Arial"/>
          <w:szCs w:val="24"/>
        </w:rPr>
        <w:t xml:space="preserve"> majority of authors in fiction, trade non-fiction, and poetry. Women </w:t>
      </w:r>
      <w:r w:rsidR="00046392" w:rsidRPr="001E0710">
        <w:rPr>
          <w:rFonts w:cs="Arial"/>
          <w:szCs w:val="24"/>
        </w:rPr>
        <w:t>were</w:t>
      </w:r>
      <w:r w:rsidRPr="001E0710">
        <w:rPr>
          <w:rFonts w:cs="Arial"/>
          <w:szCs w:val="24"/>
        </w:rPr>
        <w:t xml:space="preserve"> </w:t>
      </w:r>
      <w:r w:rsidR="00046392" w:rsidRPr="001E0710">
        <w:rPr>
          <w:rFonts w:cs="Arial"/>
          <w:szCs w:val="24"/>
        </w:rPr>
        <w:t>the</w:t>
      </w:r>
      <w:r w:rsidRPr="001E0710">
        <w:rPr>
          <w:rFonts w:cs="Arial"/>
          <w:szCs w:val="24"/>
        </w:rPr>
        <w:t xml:space="preserve"> majority of authors in children’s and young adult </w:t>
      </w:r>
      <w:r w:rsidR="004E79FA" w:rsidRPr="001E0710">
        <w:rPr>
          <w:rFonts w:cs="Arial"/>
          <w:szCs w:val="24"/>
        </w:rPr>
        <w:t>books</w:t>
      </w:r>
      <w:r w:rsidR="0035021D" w:rsidRPr="001E0710">
        <w:rPr>
          <w:rFonts w:cs="Arial"/>
          <w:szCs w:val="24"/>
        </w:rPr>
        <w:t>. H</w:t>
      </w:r>
      <w:r w:rsidRPr="001E0710">
        <w:rPr>
          <w:rFonts w:cs="Arial"/>
          <w:szCs w:val="24"/>
        </w:rPr>
        <w:t xml:space="preserve">owever, in non-fiction </w:t>
      </w:r>
      <w:r w:rsidR="004E79FA" w:rsidRPr="001E0710">
        <w:rPr>
          <w:rFonts w:cs="Arial"/>
          <w:szCs w:val="24"/>
        </w:rPr>
        <w:t xml:space="preserve">books </w:t>
      </w:r>
      <w:r w:rsidRPr="001E0710">
        <w:rPr>
          <w:rFonts w:cs="Arial"/>
          <w:szCs w:val="24"/>
        </w:rPr>
        <w:t xml:space="preserve">for children and young people, men again </w:t>
      </w:r>
      <w:r w:rsidR="00046392" w:rsidRPr="001E0710">
        <w:rPr>
          <w:rFonts w:cs="Arial"/>
          <w:szCs w:val="24"/>
        </w:rPr>
        <w:t>were</w:t>
      </w:r>
      <w:r w:rsidRPr="001E0710">
        <w:rPr>
          <w:rFonts w:cs="Arial"/>
          <w:szCs w:val="24"/>
        </w:rPr>
        <w:t xml:space="preserve"> </w:t>
      </w:r>
      <w:r w:rsidR="00046392" w:rsidRPr="001E0710">
        <w:rPr>
          <w:rFonts w:cs="Arial"/>
          <w:szCs w:val="24"/>
        </w:rPr>
        <w:t>the</w:t>
      </w:r>
      <w:r w:rsidRPr="001E0710">
        <w:rPr>
          <w:rFonts w:cs="Arial"/>
          <w:szCs w:val="24"/>
        </w:rPr>
        <w:t xml:space="preserve"> majority of authors.</w:t>
      </w:r>
    </w:p>
    <w:p w14:paraId="3ECAC1D3" w14:textId="47F59C21" w:rsidR="00704C08" w:rsidRPr="001E0710" w:rsidRDefault="00D86B71" w:rsidP="00F34FD5">
      <w:pPr>
        <w:pStyle w:val="ListParagraph"/>
        <w:numPr>
          <w:ilvl w:val="0"/>
          <w:numId w:val="5"/>
        </w:numPr>
        <w:jc w:val="both"/>
        <w:rPr>
          <w:rFonts w:cs="Arial"/>
        </w:rPr>
      </w:pPr>
      <w:r w:rsidRPr="001E0710">
        <w:rPr>
          <w:rFonts w:cs="Arial"/>
          <w:szCs w:val="24"/>
        </w:rPr>
        <w:t xml:space="preserve">A full list of </w:t>
      </w:r>
      <w:r w:rsidR="00501F5D">
        <w:rPr>
          <w:rFonts w:cs="Arial"/>
          <w:szCs w:val="24"/>
        </w:rPr>
        <w:t xml:space="preserve">publishers counted, and </w:t>
      </w:r>
      <w:r w:rsidR="00046392" w:rsidRPr="001E0710">
        <w:rPr>
          <w:rFonts w:cs="Arial"/>
          <w:szCs w:val="24"/>
        </w:rPr>
        <w:t>publications per category is</w:t>
      </w:r>
      <w:r w:rsidRPr="001E0710">
        <w:rPr>
          <w:rFonts w:cs="Arial"/>
          <w:szCs w:val="24"/>
        </w:rPr>
        <w:t xml:space="preserve"> in the </w:t>
      </w:r>
      <w:r w:rsidR="00905A5D">
        <w:rPr>
          <w:rFonts w:cs="Arial"/>
          <w:szCs w:val="24"/>
        </w:rPr>
        <w:t>A</w:t>
      </w:r>
      <w:r w:rsidRPr="001E0710">
        <w:rPr>
          <w:rFonts w:cs="Arial"/>
          <w:szCs w:val="24"/>
        </w:rPr>
        <w:t>ppendix</w:t>
      </w:r>
      <w:r w:rsidR="00046392" w:rsidRPr="001E0710">
        <w:rPr>
          <w:rFonts w:cs="Arial"/>
          <w:szCs w:val="24"/>
        </w:rPr>
        <w:t>.</w:t>
      </w:r>
    </w:p>
    <w:p w14:paraId="037A95F2" w14:textId="6C2F1AC9" w:rsidR="00704C08" w:rsidRPr="001E0710" w:rsidRDefault="00000000" w:rsidP="00F92FC8">
      <w:pPr>
        <w:pStyle w:val="Heading3"/>
        <w:rPr>
          <w:rFonts w:cs="Arial"/>
          <w:szCs w:val="24"/>
        </w:rPr>
      </w:pPr>
      <w:bookmarkStart w:id="7" w:name="_Toc195538141"/>
      <w:r w:rsidRPr="001E0710">
        <w:rPr>
          <w:rFonts w:cs="Arial"/>
        </w:rPr>
        <w:t>Reviewing</w:t>
      </w:r>
      <w:bookmarkEnd w:id="7"/>
    </w:p>
    <w:p w14:paraId="10D713AC" w14:textId="273B7612" w:rsidR="00704C08" w:rsidRPr="001E0710" w:rsidRDefault="00424EA8" w:rsidP="00F34FD5">
      <w:pPr>
        <w:pStyle w:val="ListParagraph"/>
        <w:numPr>
          <w:ilvl w:val="0"/>
          <w:numId w:val="5"/>
        </w:numPr>
        <w:jc w:val="both"/>
        <w:rPr>
          <w:rFonts w:cs="Arial"/>
          <w:szCs w:val="24"/>
        </w:rPr>
      </w:pPr>
      <w:r w:rsidRPr="001E0710">
        <w:rPr>
          <w:rFonts w:cs="Arial"/>
          <w:i/>
          <w:iCs/>
        </w:rPr>
        <w:t xml:space="preserve">The Scotsman </w:t>
      </w:r>
      <w:r w:rsidRPr="001E0710">
        <w:rPr>
          <w:rFonts w:cs="Arial"/>
        </w:rPr>
        <w:t xml:space="preserve">and </w:t>
      </w:r>
      <w:r w:rsidRPr="001E0710">
        <w:rPr>
          <w:rFonts w:cs="Arial"/>
          <w:i/>
          <w:iCs/>
        </w:rPr>
        <w:t xml:space="preserve">The Herald </w:t>
      </w:r>
      <w:r w:rsidRPr="001E0710">
        <w:rPr>
          <w:rFonts w:cs="Arial"/>
        </w:rPr>
        <w:t xml:space="preserve">reviewed male authors 1.7 times more than female authors in the years 2017-2019. </w:t>
      </w:r>
      <w:r w:rsidR="009860B4" w:rsidRPr="001E0710">
        <w:rPr>
          <w:rFonts w:cs="Arial"/>
        </w:rPr>
        <w:t>1,038</w:t>
      </w:r>
      <w:r w:rsidRPr="001E0710">
        <w:rPr>
          <w:rFonts w:cs="Arial"/>
        </w:rPr>
        <w:t xml:space="preserve"> </w:t>
      </w:r>
      <w:r w:rsidR="009860B4" w:rsidRPr="001E0710">
        <w:rPr>
          <w:rFonts w:cs="Arial"/>
        </w:rPr>
        <w:t>(</w:t>
      </w:r>
      <w:r w:rsidRPr="001E0710">
        <w:rPr>
          <w:rFonts w:cs="Arial"/>
        </w:rPr>
        <w:t>62.</w:t>
      </w:r>
      <w:r w:rsidR="009860B4" w:rsidRPr="001E0710">
        <w:rPr>
          <w:rFonts w:cs="Arial"/>
        </w:rPr>
        <w:t>6</w:t>
      </w:r>
      <w:r w:rsidRPr="001E0710">
        <w:rPr>
          <w:rFonts w:cs="Arial"/>
        </w:rPr>
        <w:t>%</w:t>
      </w:r>
      <w:r w:rsidR="009860B4" w:rsidRPr="001E0710">
        <w:rPr>
          <w:rFonts w:cs="Arial"/>
        </w:rPr>
        <w:t>)</w:t>
      </w:r>
      <w:r w:rsidRPr="001E0710">
        <w:rPr>
          <w:rFonts w:cs="Arial"/>
        </w:rPr>
        <w:t xml:space="preserve"> of </w:t>
      </w:r>
      <w:r w:rsidR="009860B4" w:rsidRPr="001E0710">
        <w:rPr>
          <w:rFonts w:cs="Arial"/>
        </w:rPr>
        <w:t xml:space="preserve">total </w:t>
      </w:r>
      <w:r w:rsidRPr="001E0710">
        <w:rPr>
          <w:rFonts w:cs="Arial"/>
        </w:rPr>
        <w:t xml:space="preserve">authors </w:t>
      </w:r>
      <w:r w:rsidR="00046392" w:rsidRPr="001E0710">
        <w:rPr>
          <w:rFonts w:cs="Arial"/>
        </w:rPr>
        <w:t xml:space="preserve">were </w:t>
      </w:r>
      <w:r w:rsidRPr="001E0710">
        <w:rPr>
          <w:rFonts w:cs="Arial"/>
        </w:rPr>
        <w:t xml:space="preserve">male, </w:t>
      </w:r>
      <w:r w:rsidR="009860B4" w:rsidRPr="001E0710">
        <w:rPr>
          <w:rFonts w:cs="Arial"/>
        </w:rPr>
        <w:t>615 (</w:t>
      </w:r>
      <w:r w:rsidRPr="001E0710">
        <w:rPr>
          <w:rFonts w:cs="Arial"/>
        </w:rPr>
        <w:t>37</w:t>
      </w:r>
      <w:r w:rsidR="009860B4" w:rsidRPr="001E0710">
        <w:rPr>
          <w:rFonts w:cs="Arial"/>
        </w:rPr>
        <w:t>.1</w:t>
      </w:r>
      <w:r w:rsidRPr="001E0710">
        <w:rPr>
          <w:rFonts w:cs="Arial"/>
        </w:rPr>
        <w:t>%</w:t>
      </w:r>
      <w:r w:rsidR="009860B4" w:rsidRPr="001E0710">
        <w:rPr>
          <w:rFonts w:cs="Arial"/>
        </w:rPr>
        <w:t>)</w:t>
      </w:r>
      <w:r w:rsidRPr="001E0710">
        <w:rPr>
          <w:rFonts w:cs="Arial"/>
        </w:rPr>
        <w:t xml:space="preserve"> female and </w:t>
      </w:r>
      <w:r w:rsidR="009860B4" w:rsidRPr="001E0710">
        <w:rPr>
          <w:rFonts w:cs="Arial"/>
        </w:rPr>
        <w:t>4 (</w:t>
      </w:r>
      <w:r w:rsidRPr="001E0710">
        <w:rPr>
          <w:rFonts w:cs="Arial"/>
        </w:rPr>
        <w:t>0.</w:t>
      </w:r>
      <w:r w:rsidR="009860B4" w:rsidRPr="001E0710">
        <w:rPr>
          <w:rFonts w:cs="Arial"/>
        </w:rPr>
        <w:t>2</w:t>
      </w:r>
      <w:r w:rsidRPr="001E0710">
        <w:rPr>
          <w:rFonts w:cs="Arial"/>
        </w:rPr>
        <w:t>%</w:t>
      </w:r>
      <w:r w:rsidR="009860B4" w:rsidRPr="001E0710">
        <w:rPr>
          <w:rFonts w:cs="Arial"/>
        </w:rPr>
        <w:t>)</w:t>
      </w:r>
      <w:r w:rsidRPr="001E0710">
        <w:rPr>
          <w:rFonts w:cs="Arial"/>
        </w:rPr>
        <w:t xml:space="preserve"> non-binary.</w:t>
      </w:r>
      <w:r w:rsidR="009860B4" w:rsidRPr="001E0710">
        <w:rPr>
          <w:rFonts w:cs="Arial"/>
        </w:rPr>
        <w:t xml:space="preserve"> </w:t>
      </w:r>
      <w:r w:rsidR="002A1A74">
        <w:rPr>
          <w:rFonts w:cs="Arial"/>
        </w:rPr>
        <w:t>No gender data was available for 6 authors.</w:t>
      </w:r>
    </w:p>
    <w:p w14:paraId="261A6E26" w14:textId="465071A9" w:rsidR="00704C08" w:rsidRPr="001E0710" w:rsidRDefault="00424EA8" w:rsidP="00F34FD5">
      <w:pPr>
        <w:pStyle w:val="ListParagraph"/>
        <w:numPr>
          <w:ilvl w:val="0"/>
          <w:numId w:val="5"/>
        </w:numPr>
        <w:jc w:val="both"/>
        <w:rPr>
          <w:rFonts w:cs="Arial"/>
          <w:szCs w:val="24"/>
        </w:rPr>
      </w:pPr>
      <w:r w:rsidRPr="001E0710">
        <w:rPr>
          <w:rFonts w:cs="Arial"/>
        </w:rPr>
        <w:t xml:space="preserve">Disparity was even more stark in book reviewers. </w:t>
      </w:r>
      <w:r w:rsidR="009860B4" w:rsidRPr="001E0710">
        <w:rPr>
          <w:rFonts w:cs="Arial"/>
        </w:rPr>
        <w:t>1,265 (</w:t>
      </w:r>
      <w:r w:rsidRPr="001E0710">
        <w:rPr>
          <w:rFonts w:cs="Arial"/>
        </w:rPr>
        <w:t>82</w:t>
      </w:r>
      <w:r w:rsidR="005E5F5C">
        <w:rPr>
          <w:rFonts w:cs="Arial"/>
        </w:rPr>
        <w:t>.0</w:t>
      </w:r>
      <w:r w:rsidRPr="001E0710">
        <w:rPr>
          <w:rFonts w:cs="Arial"/>
        </w:rPr>
        <w:t>%</w:t>
      </w:r>
      <w:r w:rsidR="009860B4" w:rsidRPr="001E0710">
        <w:rPr>
          <w:rFonts w:cs="Arial"/>
        </w:rPr>
        <w:t>)</w:t>
      </w:r>
      <w:r w:rsidRPr="001E0710">
        <w:rPr>
          <w:rFonts w:cs="Arial"/>
        </w:rPr>
        <w:t xml:space="preserve"> of reviews were written by male critics, </w:t>
      </w:r>
      <w:r w:rsidR="009860B4" w:rsidRPr="001E0710">
        <w:rPr>
          <w:rFonts w:cs="Arial"/>
        </w:rPr>
        <w:t>278 (</w:t>
      </w:r>
      <w:r w:rsidRPr="001E0710">
        <w:rPr>
          <w:rFonts w:cs="Arial"/>
        </w:rPr>
        <w:t>18</w:t>
      </w:r>
      <w:r w:rsidR="005E5F5C">
        <w:rPr>
          <w:rFonts w:cs="Arial"/>
        </w:rPr>
        <w:t>.0</w:t>
      </w:r>
      <w:r w:rsidRPr="001E0710">
        <w:rPr>
          <w:rFonts w:cs="Arial"/>
        </w:rPr>
        <w:t>%</w:t>
      </w:r>
      <w:r w:rsidR="009860B4" w:rsidRPr="001E0710">
        <w:rPr>
          <w:rFonts w:cs="Arial"/>
        </w:rPr>
        <w:t>)</w:t>
      </w:r>
      <w:r w:rsidRPr="001E0710">
        <w:rPr>
          <w:rFonts w:cs="Arial"/>
        </w:rPr>
        <w:t xml:space="preserve"> of reviews by female critics, and </w:t>
      </w:r>
      <w:r w:rsidR="009860B4" w:rsidRPr="001E0710">
        <w:rPr>
          <w:rFonts w:cs="Arial"/>
        </w:rPr>
        <w:t xml:space="preserve">the dataset recorded </w:t>
      </w:r>
      <w:r w:rsidRPr="001E0710">
        <w:rPr>
          <w:rFonts w:cs="Arial"/>
        </w:rPr>
        <w:t xml:space="preserve">no </w:t>
      </w:r>
      <w:r w:rsidR="009860B4" w:rsidRPr="001E0710">
        <w:rPr>
          <w:rFonts w:cs="Arial"/>
        </w:rPr>
        <w:t xml:space="preserve">openly </w:t>
      </w:r>
      <w:r w:rsidRPr="001E0710">
        <w:rPr>
          <w:rFonts w:cs="Arial"/>
        </w:rPr>
        <w:t>non-binary critics.</w:t>
      </w:r>
      <w:r w:rsidRPr="00715DA1">
        <w:rPr>
          <w:rStyle w:val="FootnoteReference"/>
        </w:rPr>
        <w:footnoteReference w:id="3"/>
      </w:r>
      <w:r w:rsidR="002A1A74">
        <w:rPr>
          <w:rFonts w:cs="Arial"/>
        </w:rPr>
        <w:t xml:space="preserve"> No gender data was available for 83 critics.</w:t>
      </w:r>
    </w:p>
    <w:p w14:paraId="5F007847" w14:textId="0D301164" w:rsidR="00704C08" w:rsidRPr="001E0710" w:rsidRDefault="00000000" w:rsidP="00F92FC8">
      <w:pPr>
        <w:pStyle w:val="Heading3"/>
        <w:rPr>
          <w:rFonts w:cs="Arial"/>
          <w:szCs w:val="24"/>
        </w:rPr>
      </w:pPr>
      <w:bookmarkStart w:id="8" w:name="_Toc195538142"/>
      <w:r w:rsidRPr="001E0710">
        <w:rPr>
          <w:rFonts w:cs="Arial"/>
        </w:rPr>
        <w:t>Book festivals</w:t>
      </w:r>
      <w:r w:rsidR="002D12DE" w:rsidRPr="001E0710">
        <w:rPr>
          <w:rFonts w:cs="Arial"/>
        </w:rPr>
        <w:t>:</w:t>
      </w:r>
      <w:r w:rsidRPr="001E0710">
        <w:rPr>
          <w:rFonts w:cs="Arial"/>
        </w:rPr>
        <w:t xml:space="preserve"> 2017-2019</w:t>
      </w:r>
      <w:bookmarkEnd w:id="8"/>
    </w:p>
    <w:p w14:paraId="2914DFDB" w14:textId="2DED19F8" w:rsidR="00C74E19" w:rsidRPr="00A2121A" w:rsidRDefault="00424EA8" w:rsidP="23B69409">
      <w:pPr>
        <w:pStyle w:val="ListParagraph"/>
        <w:numPr>
          <w:ilvl w:val="0"/>
          <w:numId w:val="5"/>
        </w:numPr>
        <w:jc w:val="both"/>
        <w:rPr>
          <w:rFonts w:cs="Arial"/>
        </w:rPr>
      </w:pPr>
      <w:r w:rsidRPr="001E0710">
        <w:rPr>
          <w:rFonts w:cs="Arial"/>
        </w:rPr>
        <w:t>Across three festivals</w:t>
      </w:r>
      <w:r w:rsidR="0035021D" w:rsidRPr="001E0710">
        <w:rPr>
          <w:rFonts w:cs="Arial"/>
        </w:rPr>
        <w:t xml:space="preserve"> –</w:t>
      </w:r>
      <w:r w:rsidRPr="001E0710">
        <w:rPr>
          <w:rFonts w:cs="Arial"/>
        </w:rPr>
        <w:t xml:space="preserve"> Edinburgh International Book Festival</w:t>
      </w:r>
      <w:r w:rsidR="002D12DE" w:rsidRPr="001E0710">
        <w:rPr>
          <w:rFonts w:cs="Arial"/>
        </w:rPr>
        <w:t xml:space="preserve"> (EIBF)</w:t>
      </w:r>
      <w:r w:rsidRPr="001E0710">
        <w:rPr>
          <w:rFonts w:cs="Arial"/>
        </w:rPr>
        <w:t>, Aye Write and Bloody Scotland</w:t>
      </w:r>
      <w:r w:rsidR="0035021D" w:rsidRPr="001E0710">
        <w:rPr>
          <w:rFonts w:cs="Arial"/>
        </w:rPr>
        <w:t xml:space="preserve"> –</w:t>
      </w:r>
      <w:r w:rsidRPr="001E0710">
        <w:rPr>
          <w:rFonts w:cs="Arial"/>
        </w:rPr>
        <w:t xml:space="preserve"> more male authors than female authors were programmed between 2017-2019. </w:t>
      </w:r>
      <w:r w:rsidR="00C74E19" w:rsidRPr="001E0710">
        <w:rPr>
          <w:rFonts w:cs="Arial"/>
        </w:rPr>
        <w:t>2,206 (52.8</w:t>
      </w:r>
      <w:r w:rsidRPr="001E0710">
        <w:rPr>
          <w:rFonts w:cs="Arial"/>
        </w:rPr>
        <w:t>%</w:t>
      </w:r>
      <w:r w:rsidR="00C74E19" w:rsidRPr="001E0710">
        <w:rPr>
          <w:rFonts w:cs="Arial"/>
        </w:rPr>
        <w:t>)</w:t>
      </w:r>
      <w:r w:rsidRPr="001E0710">
        <w:rPr>
          <w:rFonts w:cs="Arial"/>
        </w:rPr>
        <w:t xml:space="preserve"> of authors programmed were male, </w:t>
      </w:r>
      <w:r w:rsidR="00C74E19" w:rsidRPr="001E0710">
        <w:rPr>
          <w:rFonts w:cs="Arial"/>
        </w:rPr>
        <w:t xml:space="preserve">1,905 </w:t>
      </w:r>
      <w:r w:rsidRPr="001E0710">
        <w:rPr>
          <w:rFonts w:cs="Arial"/>
        </w:rPr>
        <w:t>(4</w:t>
      </w:r>
      <w:r w:rsidR="00C74E19" w:rsidRPr="001E0710">
        <w:rPr>
          <w:rFonts w:cs="Arial"/>
        </w:rPr>
        <w:t>5</w:t>
      </w:r>
      <w:r w:rsidRPr="001E0710">
        <w:rPr>
          <w:rFonts w:cs="Arial"/>
        </w:rPr>
        <w:t>.6%) were female</w:t>
      </w:r>
      <w:r w:rsidR="00726409">
        <w:rPr>
          <w:rFonts w:cs="Arial"/>
        </w:rPr>
        <w:t>,</w:t>
      </w:r>
      <w:r w:rsidRPr="001E0710">
        <w:rPr>
          <w:rFonts w:cs="Arial"/>
        </w:rPr>
        <w:t xml:space="preserve"> and </w:t>
      </w:r>
      <w:r w:rsidR="00C74E19" w:rsidRPr="001E0710">
        <w:rPr>
          <w:rFonts w:cs="Arial"/>
        </w:rPr>
        <w:t>18 (</w:t>
      </w:r>
      <w:r w:rsidRPr="001E0710">
        <w:rPr>
          <w:rFonts w:cs="Arial"/>
        </w:rPr>
        <w:t>0.</w:t>
      </w:r>
      <w:r w:rsidR="00C74E19" w:rsidRPr="001E0710">
        <w:rPr>
          <w:rFonts w:cs="Arial"/>
        </w:rPr>
        <w:t>4</w:t>
      </w:r>
      <w:r w:rsidRPr="001E0710">
        <w:rPr>
          <w:rFonts w:cs="Arial"/>
        </w:rPr>
        <w:t>%</w:t>
      </w:r>
      <w:r w:rsidR="00C74E19" w:rsidRPr="001E0710">
        <w:rPr>
          <w:rFonts w:cs="Arial"/>
        </w:rPr>
        <w:t>)</w:t>
      </w:r>
      <w:r w:rsidRPr="001E0710">
        <w:rPr>
          <w:rFonts w:cs="Arial"/>
        </w:rPr>
        <w:t xml:space="preserve"> were non-binary</w:t>
      </w:r>
      <w:r w:rsidR="00697DD1">
        <w:rPr>
          <w:rFonts w:cs="Arial"/>
        </w:rPr>
        <w:t xml:space="preserve">. </w:t>
      </w:r>
      <w:r w:rsidR="002A1A74">
        <w:rPr>
          <w:rFonts w:cs="Arial"/>
        </w:rPr>
        <w:t>No gender data was available for 52 authors.</w:t>
      </w:r>
    </w:p>
    <w:p w14:paraId="7F18E530" w14:textId="1E08B613" w:rsidR="00A2121A" w:rsidRPr="00A2121A" w:rsidRDefault="00A2121A" w:rsidP="00A2121A">
      <w:pPr>
        <w:pStyle w:val="ListParagraph"/>
        <w:numPr>
          <w:ilvl w:val="0"/>
          <w:numId w:val="5"/>
        </w:numPr>
      </w:pPr>
      <w:r w:rsidRPr="00A2121A">
        <w:t>On average, at Aye Write and EIBF</w:t>
      </w:r>
      <w:r w:rsidRPr="00715DA1">
        <w:rPr>
          <w:rStyle w:val="FootnoteReference"/>
        </w:rPr>
        <w:footnoteReference w:id="4"/>
      </w:r>
      <w:r w:rsidR="00726409">
        <w:t>,</w:t>
      </w:r>
      <w:r w:rsidRPr="00726409">
        <w:rPr>
          <w:vertAlign w:val="superscript"/>
        </w:rPr>
        <w:t xml:space="preserve"> </w:t>
      </w:r>
      <w:r w:rsidRPr="00A2121A">
        <w:t xml:space="preserve">the men programmed were more likely than the women to have a solo event: the gender disparity is an average of 7.2 points higher for solo events than the gender disparity for total events. </w:t>
      </w:r>
    </w:p>
    <w:p w14:paraId="65D54B8D" w14:textId="594F4A59" w:rsidR="00704C08" w:rsidRPr="001E0710" w:rsidRDefault="00B10A6A" w:rsidP="00F92FC8">
      <w:pPr>
        <w:pStyle w:val="Heading3"/>
        <w:rPr>
          <w:rFonts w:cs="Arial"/>
        </w:rPr>
      </w:pPr>
      <w:bookmarkStart w:id="9" w:name="_Toc195538143"/>
      <w:r w:rsidRPr="001E0710">
        <w:rPr>
          <w:rFonts w:cs="Arial"/>
        </w:rPr>
        <w:t>Amplifying Visibility</w:t>
      </w:r>
      <w:bookmarkEnd w:id="9"/>
    </w:p>
    <w:p w14:paraId="42C05077" w14:textId="42D1FE69" w:rsidR="00704C08" w:rsidRPr="001E0710" w:rsidRDefault="007C324D" w:rsidP="23B69409">
      <w:pPr>
        <w:pStyle w:val="ListParagraph"/>
        <w:numPr>
          <w:ilvl w:val="0"/>
          <w:numId w:val="5"/>
        </w:numPr>
        <w:jc w:val="both"/>
        <w:rPr>
          <w:rFonts w:cs="Arial"/>
        </w:rPr>
      </w:pPr>
      <w:r w:rsidRPr="23B69409">
        <w:rPr>
          <w:rFonts w:cs="Arial"/>
        </w:rPr>
        <w:lastRenderedPageBreak/>
        <w:t xml:space="preserve">From 2017-2019, 17 authors (of </w:t>
      </w:r>
      <w:r w:rsidRPr="23B69409">
        <w:rPr>
          <w:rFonts w:cs="Arial"/>
          <w:color w:val="000000" w:themeColor="text1"/>
        </w:rPr>
        <w:t>1,321 individual authors published in Scotland)</w:t>
      </w:r>
      <w:r w:rsidRPr="23B69409">
        <w:rPr>
          <w:rFonts w:cs="Arial"/>
        </w:rPr>
        <w:t xml:space="preserve"> appeared in all four </w:t>
      </w:r>
      <w:r w:rsidR="00726409">
        <w:rPr>
          <w:rFonts w:cs="Arial"/>
        </w:rPr>
        <w:t xml:space="preserve">of the following </w:t>
      </w:r>
      <w:r w:rsidRPr="23B69409">
        <w:rPr>
          <w:rFonts w:cs="Arial"/>
        </w:rPr>
        <w:t xml:space="preserve">areas: they were published in Scotland, received a review, spoke at a book festival, and were shortlisted and/or won a literary prize. </w:t>
      </w:r>
    </w:p>
    <w:p w14:paraId="66DBC2D0" w14:textId="3438C2CC" w:rsidR="00704C08" w:rsidRPr="001E0710" w:rsidRDefault="00000000" w:rsidP="23B69409">
      <w:pPr>
        <w:pStyle w:val="ListParagraph"/>
        <w:numPr>
          <w:ilvl w:val="0"/>
          <w:numId w:val="5"/>
        </w:numPr>
        <w:jc w:val="both"/>
        <w:rPr>
          <w:rFonts w:cs="Arial"/>
        </w:rPr>
      </w:pPr>
      <w:r w:rsidRPr="23B69409">
        <w:rPr>
          <w:rFonts w:cs="Arial"/>
        </w:rPr>
        <w:t>Of these 17, 11 were men (6</w:t>
      </w:r>
      <w:r w:rsidR="005E5F5C" w:rsidRPr="23B69409">
        <w:rPr>
          <w:rFonts w:cs="Arial"/>
        </w:rPr>
        <w:t>4.7</w:t>
      </w:r>
      <w:r w:rsidRPr="23B69409">
        <w:rPr>
          <w:rFonts w:cs="Arial"/>
        </w:rPr>
        <w:t>%) and 6 were women (35</w:t>
      </w:r>
      <w:r w:rsidR="005E5F5C" w:rsidRPr="23B69409">
        <w:rPr>
          <w:rFonts w:cs="Arial"/>
        </w:rPr>
        <w:t>.3</w:t>
      </w:r>
      <w:r w:rsidRPr="23B69409">
        <w:rPr>
          <w:rFonts w:cs="Arial"/>
        </w:rPr>
        <w:t xml:space="preserve">%). All 17 of these authors were white, meaning that this </w:t>
      </w:r>
      <w:r w:rsidR="00B10A6A" w:rsidRPr="23B69409">
        <w:rPr>
          <w:rFonts w:cs="Arial"/>
        </w:rPr>
        <w:t>higher visibility</w:t>
      </w:r>
      <w:r w:rsidRPr="23B69409">
        <w:rPr>
          <w:rFonts w:cs="Arial"/>
        </w:rPr>
        <w:t xml:space="preserve"> was entirely unavailable to </w:t>
      </w:r>
      <w:r w:rsidR="00F928CF" w:rsidRPr="23B69409">
        <w:rPr>
          <w:rFonts w:cs="Arial"/>
        </w:rPr>
        <w:t>BPOC authors</w:t>
      </w:r>
      <w:r w:rsidRPr="23B69409">
        <w:rPr>
          <w:rFonts w:cs="Arial"/>
        </w:rPr>
        <w:t xml:space="preserve"> </w:t>
      </w:r>
      <w:r w:rsidR="007C324D" w:rsidRPr="23B69409">
        <w:rPr>
          <w:rFonts w:cs="Arial"/>
        </w:rPr>
        <w:t>within this 3</w:t>
      </w:r>
      <w:r w:rsidR="00726409">
        <w:rPr>
          <w:rFonts w:cs="Arial"/>
        </w:rPr>
        <w:t>-</w:t>
      </w:r>
      <w:r w:rsidR="007C324D" w:rsidRPr="23B69409">
        <w:rPr>
          <w:rFonts w:cs="Arial"/>
        </w:rPr>
        <w:t>year sample</w:t>
      </w:r>
      <w:r w:rsidRPr="23B69409">
        <w:rPr>
          <w:rFonts w:cs="Arial"/>
        </w:rPr>
        <w:t>.</w:t>
      </w:r>
    </w:p>
    <w:p w14:paraId="17CDA0BF" w14:textId="59FB72A4" w:rsidR="00704C08" w:rsidRPr="001E0710" w:rsidRDefault="00B10A6A" w:rsidP="00F34FD5">
      <w:pPr>
        <w:pStyle w:val="ListParagraph"/>
        <w:numPr>
          <w:ilvl w:val="0"/>
          <w:numId w:val="5"/>
        </w:numPr>
        <w:jc w:val="both"/>
        <w:rPr>
          <w:rFonts w:cs="Arial"/>
          <w:szCs w:val="24"/>
        </w:rPr>
      </w:pPr>
      <w:r w:rsidRPr="001E0710">
        <w:rPr>
          <w:rFonts w:cs="Arial"/>
          <w:szCs w:val="24"/>
        </w:rPr>
        <w:t xml:space="preserve">The more an author appeared multiple times across the data – for example, both </w:t>
      </w:r>
      <w:r w:rsidR="00E62269" w:rsidRPr="001E0710">
        <w:rPr>
          <w:rFonts w:cs="Arial"/>
          <w:szCs w:val="24"/>
        </w:rPr>
        <w:t xml:space="preserve">receiving a book review and </w:t>
      </w:r>
      <w:r w:rsidRPr="001E0710">
        <w:rPr>
          <w:rFonts w:cs="Arial"/>
          <w:szCs w:val="24"/>
        </w:rPr>
        <w:t xml:space="preserve">winning a prize, or </w:t>
      </w:r>
      <w:r w:rsidR="00E62269" w:rsidRPr="001E0710">
        <w:rPr>
          <w:rFonts w:cs="Arial"/>
          <w:szCs w:val="24"/>
        </w:rPr>
        <w:t>having four different festival events</w:t>
      </w:r>
      <w:r w:rsidRPr="001E0710">
        <w:rPr>
          <w:rFonts w:cs="Arial"/>
          <w:szCs w:val="24"/>
        </w:rPr>
        <w:t xml:space="preserve"> – the more likely they were to be white.</w:t>
      </w:r>
      <w:r w:rsidR="00E62269" w:rsidRPr="001E0710">
        <w:rPr>
          <w:rFonts w:cs="Arial"/>
          <w:szCs w:val="24"/>
        </w:rPr>
        <w:t xml:space="preserve"> The more visibility was amplified,</w:t>
      </w:r>
      <w:r w:rsidRPr="001E0710">
        <w:rPr>
          <w:rFonts w:cs="Arial"/>
          <w:szCs w:val="24"/>
        </w:rPr>
        <w:t xml:space="preserve"> the more </w:t>
      </w:r>
      <w:r w:rsidR="00F928CF">
        <w:rPr>
          <w:rFonts w:cs="Arial"/>
          <w:szCs w:val="24"/>
        </w:rPr>
        <w:t>BPOC</w:t>
      </w:r>
      <w:r w:rsidRPr="001E0710">
        <w:rPr>
          <w:rFonts w:cs="Arial"/>
          <w:szCs w:val="24"/>
        </w:rPr>
        <w:t xml:space="preserve"> were excluded.</w:t>
      </w:r>
    </w:p>
    <w:p w14:paraId="7E7BB116" w14:textId="6EB0150E" w:rsidR="00704C08" w:rsidRPr="001E0710" w:rsidRDefault="00E62269" w:rsidP="00F34FD5">
      <w:pPr>
        <w:pStyle w:val="Heading2"/>
        <w:rPr>
          <w:rFonts w:cs="Arial"/>
        </w:rPr>
      </w:pPr>
      <w:bookmarkStart w:id="10" w:name="_Toc195538144"/>
      <w:r w:rsidRPr="001E0710">
        <w:rPr>
          <w:rFonts w:cs="Arial"/>
        </w:rPr>
        <w:t>The Interviews and Analysis</w:t>
      </w:r>
      <w:bookmarkEnd w:id="10"/>
    </w:p>
    <w:p w14:paraId="59C1BD1D" w14:textId="205C8C7F" w:rsidR="007C324D" w:rsidRPr="00726409" w:rsidRDefault="00E62269" w:rsidP="00726409">
      <w:pPr>
        <w:spacing w:line="360" w:lineRule="auto"/>
        <w:jc w:val="both"/>
        <w:rPr>
          <w:rFonts w:cs="Arial"/>
          <w:szCs w:val="24"/>
        </w:rPr>
      </w:pPr>
      <w:r w:rsidRPr="00726409">
        <w:rPr>
          <w:rFonts w:cs="Arial"/>
          <w:szCs w:val="24"/>
        </w:rPr>
        <w:t>As well as counting disparity in Scottish literature, I interviewed 26 tastemakers in the industry (2018-2020).</w:t>
      </w:r>
      <w:r w:rsidR="007C324D" w:rsidRPr="00726409">
        <w:rPr>
          <w:rFonts w:cs="Arial"/>
          <w:szCs w:val="24"/>
        </w:rPr>
        <w:t xml:space="preserve"> Interviewees </w:t>
      </w:r>
      <w:r w:rsidRPr="00726409">
        <w:rPr>
          <w:rFonts w:cs="Arial"/>
          <w:szCs w:val="24"/>
        </w:rPr>
        <w:t xml:space="preserve">spoke about </w:t>
      </w:r>
      <w:r w:rsidR="007C324D" w:rsidRPr="00726409">
        <w:rPr>
          <w:rFonts w:cs="Arial"/>
          <w:szCs w:val="24"/>
        </w:rPr>
        <w:t xml:space="preserve">working in </w:t>
      </w:r>
      <w:r w:rsidRPr="00726409">
        <w:rPr>
          <w:rFonts w:cs="Arial"/>
          <w:szCs w:val="24"/>
        </w:rPr>
        <w:t>literature</w:t>
      </w:r>
      <w:r w:rsidR="007C324D" w:rsidRPr="00726409">
        <w:rPr>
          <w:rFonts w:cs="Arial"/>
          <w:szCs w:val="24"/>
        </w:rPr>
        <w:t>,</w:t>
      </w:r>
      <w:r w:rsidRPr="00726409">
        <w:rPr>
          <w:rFonts w:cs="Arial"/>
          <w:szCs w:val="24"/>
        </w:rPr>
        <w:t xml:space="preserve"> focussing on the late 2010s, but drawing on experience that went as </w:t>
      </w:r>
      <w:r w:rsidR="007C324D" w:rsidRPr="00726409">
        <w:rPr>
          <w:rFonts w:cs="Arial"/>
          <w:szCs w:val="24"/>
        </w:rPr>
        <w:t xml:space="preserve">far </w:t>
      </w:r>
      <w:r w:rsidRPr="00726409">
        <w:rPr>
          <w:rFonts w:cs="Arial"/>
          <w:szCs w:val="24"/>
        </w:rPr>
        <w:t xml:space="preserve">back </w:t>
      </w:r>
      <w:r w:rsidR="007C324D" w:rsidRPr="00726409">
        <w:rPr>
          <w:rFonts w:cs="Arial"/>
          <w:szCs w:val="24"/>
        </w:rPr>
        <w:t xml:space="preserve">as the 1980s. </w:t>
      </w:r>
      <w:r w:rsidRPr="00726409">
        <w:rPr>
          <w:rFonts w:cs="Arial"/>
          <w:szCs w:val="24"/>
        </w:rPr>
        <w:t>This report quotes</w:t>
      </w:r>
      <w:r w:rsidR="007C324D" w:rsidRPr="00726409">
        <w:rPr>
          <w:rFonts w:cs="Arial"/>
          <w:szCs w:val="24"/>
        </w:rPr>
        <w:t xml:space="preserve"> </w:t>
      </w:r>
      <w:r w:rsidR="003F6A1C" w:rsidRPr="00726409">
        <w:rPr>
          <w:rFonts w:cs="Arial"/>
          <w:szCs w:val="24"/>
        </w:rPr>
        <w:t xml:space="preserve">13 </w:t>
      </w:r>
      <w:r w:rsidRPr="00726409">
        <w:rPr>
          <w:rFonts w:cs="Arial"/>
          <w:szCs w:val="24"/>
        </w:rPr>
        <w:t xml:space="preserve">of these </w:t>
      </w:r>
      <w:r w:rsidR="007C324D" w:rsidRPr="00726409">
        <w:rPr>
          <w:rFonts w:cs="Arial"/>
          <w:szCs w:val="24"/>
        </w:rPr>
        <w:t>interviews</w:t>
      </w:r>
      <w:r w:rsidRPr="00726409">
        <w:rPr>
          <w:rFonts w:cs="Arial"/>
          <w:szCs w:val="24"/>
        </w:rPr>
        <w:t xml:space="preserve"> directly, but the analysis is based on all of them and on wider research about inequality </w:t>
      </w:r>
      <w:r w:rsidR="00726409" w:rsidRPr="00726409">
        <w:rPr>
          <w:rFonts w:cs="Arial"/>
          <w:szCs w:val="24"/>
        </w:rPr>
        <w:t>in</w:t>
      </w:r>
      <w:r w:rsidRPr="00726409">
        <w:rPr>
          <w:rFonts w:cs="Arial"/>
          <w:szCs w:val="24"/>
        </w:rPr>
        <w:t xml:space="preserve"> literature</w:t>
      </w:r>
      <w:r w:rsidR="007C324D" w:rsidRPr="00726409">
        <w:rPr>
          <w:rFonts w:cs="Arial"/>
          <w:szCs w:val="24"/>
        </w:rPr>
        <w:t>.</w:t>
      </w:r>
      <w:r w:rsidRPr="00726409">
        <w:rPr>
          <w:rFonts w:cs="Arial"/>
          <w:szCs w:val="24"/>
        </w:rPr>
        <w:t xml:space="preserve"> I found that:</w:t>
      </w:r>
    </w:p>
    <w:p w14:paraId="2D6B54A4" w14:textId="16FD2CC7" w:rsidR="0099173B" w:rsidRPr="004E2EF1" w:rsidRDefault="0099173B" w:rsidP="0099173B">
      <w:pPr>
        <w:pStyle w:val="ListParagraph"/>
        <w:numPr>
          <w:ilvl w:val="0"/>
          <w:numId w:val="13"/>
        </w:numPr>
      </w:pPr>
      <w:r w:rsidRPr="004E2EF1">
        <w:t>At several stages, ideas of what Scottish literature should or could be are limited. Firstly, the Scottish literary canon, which historically favours white male authors, still impacts tastemaking today.</w:t>
      </w:r>
    </w:p>
    <w:p w14:paraId="144F9409" w14:textId="448A4B11" w:rsidR="0099173B" w:rsidRPr="004E2EF1" w:rsidRDefault="0099173B" w:rsidP="0099173B">
      <w:pPr>
        <w:pStyle w:val="ListParagraph"/>
        <w:numPr>
          <w:ilvl w:val="0"/>
          <w:numId w:val="13"/>
        </w:numPr>
      </w:pPr>
      <w:r w:rsidRPr="004E2EF1">
        <w:t xml:space="preserve">Secondly, </w:t>
      </w:r>
      <w:r>
        <w:t>ideas</w:t>
      </w:r>
      <w:r w:rsidRPr="004E2EF1">
        <w:t xml:space="preserve"> are limited by the capitalist market idea of risk, in which literary sector businesses appeal to imagined ideas of consumers.</w:t>
      </w:r>
      <w:r>
        <w:t xml:space="preserve"> </w:t>
      </w:r>
      <w:r w:rsidRPr="004E2EF1">
        <w:t xml:space="preserve">As </w:t>
      </w:r>
      <w:r w:rsidRPr="0099173B">
        <w:rPr>
          <w:i/>
          <w:iCs/>
        </w:rPr>
        <w:t>Rethinking ‘Diversity’ in Publishing</w:t>
      </w:r>
      <w:r w:rsidR="001A6652" w:rsidRPr="00715DA1">
        <w:rPr>
          <w:rStyle w:val="FootnoteReference"/>
        </w:rPr>
        <w:footnoteReference w:id="5"/>
      </w:r>
      <w:r>
        <w:t xml:space="preserve"> </w:t>
      </w:r>
      <w:r w:rsidRPr="004E2EF1">
        <w:t xml:space="preserve">shows, many publishers make decisions based on what their “imagined” reader wants, but that assumption </w:t>
      </w:r>
      <w:r w:rsidR="00726409">
        <w:t>does not</w:t>
      </w:r>
      <w:r w:rsidRPr="004E2EF1">
        <w:t xml:space="preserve"> represent the breadth of the UK reading market. These assumptions limit the books published by women and gender minorities.</w:t>
      </w:r>
      <w:r w:rsidR="00054339" w:rsidRPr="00715DA1">
        <w:rPr>
          <w:rStyle w:val="FootnoteReference"/>
        </w:rPr>
        <w:footnoteReference w:id="6"/>
      </w:r>
    </w:p>
    <w:p w14:paraId="4CD05690" w14:textId="00D60D3B" w:rsidR="0099173B" w:rsidRPr="004E2EF1" w:rsidRDefault="0099173B" w:rsidP="0099173B">
      <w:pPr>
        <w:pStyle w:val="ListParagraph"/>
        <w:numPr>
          <w:ilvl w:val="0"/>
          <w:numId w:val="13"/>
        </w:numPr>
      </w:pPr>
      <w:r w:rsidRPr="004E2EF1">
        <w:t xml:space="preserve">Some of the </w:t>
      </w:r>
      <w:r w:rsidR="00266028">
        <w:t>literary</w:t>
      </w:r>
      <w:r w:rsidRPr="004E2EF1">
        <w:t xml:space="preserve"> festival directors interviewed felt they lacked complete agency and editorial control because of the complex network of market relationships between publishers, reviewers, festival programmers and prize judges.</w:t>
      </w:r>
    </w:p>
    <w:p w14:paraId="6F95A2A2" w14:textId="77777777" w:rsidR="0099173B" w:rsidRPr="004E2EF1" w:rsidRDefault="0099173B" w:rsidP="0099173B">
      <w:pPr>
        <w:pStyle w:val="ListParagraph"/>
        <w:numPr>
          <w:ilvl w:val="0"/>
          <w:numId w:val="13"/>
        </w:numPr>
      </w:pPr>
      <w:r w:rsidRPr="004E2EF1">
        <w:lastRenderedPageBreak/>
        <w:t>Two interviewees disclosed direct experiences of harassment and intimidation, and several more spoke of being treated less favourably due to their gender or ethnicity, or missing out on opportunities due to caring responsibilities.</w:t>
      </w:r>
    </w:p>
    <w:p w14:paraId="5A8D1643" w14:textId="77777777" w:rsidR="0099173B" w:rsidRPr="004E2EF1" w:rsidRDefault="0099173B" w:rsidP="0099173B">
      <w:pPr>
        <w:pStyle w:val="ListParagraph"/>
        <w:numPr>
          <w:ilvl w:val="0"/>
          <w:numId w:val="13"/>
        </w:numPr>
      </w:pPr>
      <w:r w:rsidRPr="004E2EF1">
        <w:t>The work of women in the literary sector often happens in the background (i.e. they inhabit a structurally secondary role), or is otherwise devalued through gender stereotyping.</w:t>
      </w:r>
    </w:p>
    <w:p w14:paraId="719BFA74" w14:textId="77777777" w:rsidR="0099173B" w:rsidRPr="004E2EF1" w:rsidRDefault="0099173B" w:rsidP="0099173B">
      <w:pPr>
        <w:pStyle w:val="ListParagraph"/>
        <w:numPr>
          <w:ilvl w:val="0"/>
          <w:numId w:val="13"/>
        </w:numPr>
      </w:pPr>
      <w:r w:rsidRPr="004E2EF1">
        <w:t>The picture which emerges from interviews together with background research is one of an industry which is overwhelmingly staffed by women but which does not value the labour of women as highly as that of men.</w:t>
      </w:r>
    </w:p>
    <w:p w14:paraId="07E4267C" w14:textId="42675DF1" w:rsidR="0099173B" w:rsidRPr="004E2EF1" w:rsidRDefault="0099173B" w:rsidP="0099173B">
      <w:pPr>
        <w:pStyle w:val="ListParagraph"/>
        <w:numPr>
          <w:ilvl w:val="0"/>
          <w:numId w:val="13"/>
        </w:numPr>
      </w:pPr>
      <w:r w:rsidRPr="004E2EF1">
        <w:t>Women cannot alone be responsible for addressing inequality in the publishing industry. They hold little structural advantage and their capacity – their resources, energy and focus – is limited by the harassment and the devaluing they face.</w:t>
      </w:r>
    </w:p>
    <w:p w14:paraId="56A51DB7" w14:textId="77777777" w:rsidR="0099173B" w:rsidRPr="004E2EF1" w:rsidRDefault="0099173B" w:rsidP="0099173B">
      <w:pPr>
        <w:pStyle w:val="ListParagraph"/>
        <w:numPr>
          <w:ilvl w:val="0"/>
          <w:numId w:val="13"/>
        </w:numPr>
      </w:pPr>
      <w:r w:rsidRPr="004E2EF1">
        <w:t>Structural imbalance has a real material impact on authors.</w:t>
      </w:r>
    </w:p>
    <w:p w14:paraId="1771D7F0" w14:textId="77777777" w:rsidR="0099173B" w:rsidRPr="004E2EF1" w:rsidRDefault="0099173B" w:rsidP="0099173B">
      <w:pPr>
        <w:pStyle w:val="ListParagraph"/>
        <w:numPr>
          <w:ilvl w:val="0"/>
          <w:numId w:val="13"/>
        </w:numPr>
      </w:pPr>
      <w:r w:rsidRPr="004E2EF1">
        <w:t xml:space="preserve">Despite a countercultural self-image, the quantitative and qualitative data above show that literature is far from an equal industry. </w:t>
      </w:r>
    </w:p>
    <w:p w14:paraId="398F08F5" w14:textId="1BCD9CE7" w:rsidR="00704C08" w:rsidRPr="006A5D49" w:rsidRDefault="0099173B" w:rsidP="006A5D49">
      <w:pPr>
        <w:pStyle w:val="ListParagraph"/>
        <w:numPr>
          <w:ilvl w:val="0"/>
          <w:numId w:val="13"/>
        </w:numPr>
      </w:pPr>
      <w:r w:rsidRPr="004E2EF1">
        <w:t xml:space="preserve">Several interviewees stated that tastemakers would be horrified if accused of sexism because they believe they have good intentions, and work in a countercultural sector. They may believe that their good intentions protect them from perpetuating sexism and from accusations of sexism. However, the data in this report show that sexism exists throughout the Scottish </w:t>
      </w:r>
      <w:r w:rsidR="00726409">
        <w:t>literary</w:t>
      </w:r>
      <w:r w:rsidRPr="004E2EF1">
        <w:t xml:space="preserve"> </w:t>
      </w:r>
      <w:r w:rsidR="00A2121A">
        <w:t>sector</w:t>
      </w:r>
      <w:r w:rsidRPr="004E2EF1">
        <w:t>.</w:t>
      </w:r>
    </w:p>
    <w:p w14:paraId="16936CDF" w14:textId="3937713D" w:rsidR="00704C08" w:rsidRPr="001E0710" w:rsidRDefault="00000000" w:rsidP="00F34FD5">
      <w:pPr>
        <w:pStyle w:val="Heading2"/>
        <w:rPr>
          <w:rFonts w:cs="Arial"/>
        </w:rPr>
      </w:pPr>
      <w:bookmarkStart w:id="11" w:name="_Toc195538145"/>
      <w:r w:rsidRPr="001E0710">
        <w:rPr>
          <w:rFonts w:cs="Arial"/>
        </w:rPr>
        <w:t>Industry recommendations</w:t>
      </w:r>
      <w:bookmarkEnd w:id="11"/>
    </w:p>
    <w:p w14:paraId="1F52977F" w14:textId="23A0569B" w:rsidR="00E95C32" w:rsidRPr="001E0710" w:rsidRDefault="00E95C32" w:rsidP="0099173B">
      <w:pPr>
        <w:numPr>
          <w:ilvl w:val="0"/>
          <w:numId w:val="8"/>
        </w:numPr>
        <w:spacing w:line="360" w:lineRule="auto"/>
        <w:jc w:val="both"/>
        <w:rPr>
          <w:rFonts w:cs="Arial"/>
        </w:rPr>
      </w:pPr>
      <w:r w:rsidRPr="001E0710">
        <w:rPr>
          <w:rFonts w:cs="Arial"/>
        </w:rPr>
        <w:t xml:space="preserve">TRANSPARENCY. Organisations, institutions and companies should conduct a regular audit of the demographics </w:t>
      </w:r>
      <w:r w:rsidR="006A5D49">
        <w:rPr>
          <w:rFonts w:cs="Arial"/>
        </w:rPr>
        <w:t xml:space="preserve">of </w:t>
      </w:r>
      <w:r w:rsidR="00B17922">
        <w:rPr>
          <w:rFonts w:cs="Arial"/>
        </w:rPr>
        <w:t>authors they</w:t>
      </w:r>
      <w:r w:rsidR="006A5D49">
        <w:rPr>
          <w:rFonts w:cs="Arial"/>
        </w:rPr>
        <w:t xml:space="preserve"> work with (e.g. through publishing, programming, shortlisting, receiving submissions etc</w:t>
      </w:r>
      <w:r w:rsidR="00726409">
        <w:rPr>
          <w:rFonts w:cs="Arial"/>
        </w:rPr>
        <w:t>.</w:t>
      </w:r>
      <w:r w:rsidR="006A5D49">
        <w:rPr>
          <w:rFonts w:cs="Arial"/>
        </w:rPr>
        <w:t>)</w:t>
      </w:r>
      <w:r w:rsidRPr="001E0710">
        <w:rPr>
          <w:rFonts w:cs="Arial"/>
        </w:rPr>
        <w:t>. Wherever possible, anonymised findings should be made public, including wages/wage bands, advances and royalties.</w:t>
      </w:r>
    </w:p>
    <w:p w14:paraId="20A2CF52" w14:textId="77777777" w:rsidR="001E0710" w:rsidRPr="0099173B" w:rsidRDefault="00E95C32" w:rsidP="0099173B">
      <w:pPr>
        <w:pStyle w:val="ListParagraph"/>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cs="Arial"/>
          <w:szCs w:val="24"/>
        </w:rPr>
      </w:pPr>
      <w:bookmarkStart w:id="12" w:name="_Toc95404202"/>
      <w:bookmarkStart w:id="13" w:name="_Toc95404133"/>
      <w:bookmarkStart w:id="14" w:name="_Toc95404203"/>
      <w:bookmarkStart w:id="15" w:name="_Toc95404134"/>
      <w:bookmarkEnd w:id="12"/>
      <w:bookmarkEnd w:id="13"/>
      <w:r w:rsidRPr="0099173B">
        <w:rPr>
          <w:rFonts w:cs="Arial"/>
        </w:rPr>
        <w:t xml:space="preserve">INTEGRATING DIVERSITY. Organisations, institutions and companies should build equality, diversity and inclusion into their publishing, reviewing, </w:t>
      </w:r>
      <w:r w:rsidRPr="0099173B">
        <w:rPr>
          <w:rFonts w:cs="Arial"/>
        </w:rPr>
        <w:lastRenderedPageBreak/>
        <w:t>platforming, submission and shortlisting processes, to empower decision-makers and all employees to question exclusionary practices.</w:t>
      </w:r>
    </w:p>
    <w:p w14:paraId="7FA6BC13" w14:textId="52E0DAC6" w:rsidR="00932266" w:rsidRPr="001A6652" w:rsidRDefault="00E95C32" w:rsidP="00932266">
      <w:pPr>
        <w:pStyle w:val="ListParagraph"/>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cs="Arial"/>
          <w:color w:val="000000"/>
          <w:sz w:val="26"/>
          <w:szCs w:val="26"/>
        </w:rPr>
      </w:pPr>
      <w:r w:rsidRPr="001E0710">
        <w:rPr>
          <w:rFonts w:cs="Arial"/>
        </w:rPr>
        <w:t>REPORTING GENDER-BASED HARASSMENT. The Scottish literary sector should implement systems for report</w:t>
      </w:r>
      <w:r w:rsidR="00726409">
        <w:rPr>
          <w:rFonts w:cs="Arial"/>
        </w:rPr>
        <w:t>ing</w:t>
      </w:r>
      <w:r w:rsidRPr="001E0710">
        <w:rPr>
          <w:rFonts w:cs="Arial"/>
        </w:rPr>
        <w:t xml:space="preserve"> gender-based harassment, intimidation, discrimination and violence.</w:t>
      </w:r>
      <w:bookmarkStart w:id="16" w:name="_Toc180580121"/>
      <w:r w:rsidR="00932266" w:rsidRPr="00932266">
        <w:br w:type="page"/>
      </w:r>
    </w:p>
    <w:p w14:paraId="6DBCE1DE" w14:textId="399665F6" w:rsidR="00715DA1" w:rsidRDefault="00715DA1" w:rsidP="001E678E">
      <w:pPr>
        <w:pStyle w:val="Heading1"/>
        <w:rPr>
          <w:rFonts w:ascii="Arial" w:hAnsi="Arial" w:cs="Arial"/>
        </w:rPr>
      </w:pPr>
      <w:bookmarkStart w:id="17" w:name="_Toc195538146"/>
      <w:r>
        <w:rPr>
          <w:rFonts w:ascii="Arial" w:hAnsi="Arial" w:cs="Arial"/>
        </w:rPr>
        <w:lastRenderedPageBreak/>
        <w:t>Statements</w:t>
      </w:r>
      <w:bookmarkEnd w:id="17"/>
    </w:p>
    <w:p w14:paraId="0CEA56B6" w14:textId="77777777" w:rsidR="00715DA1" w:rsidRDefault="00715DA1" w:rsidP="0091752F">
      <w:pPr>
        <w:pStyle w:val="Quote"/>
        <w:spacing w:line="360" w:lineRule="auto"/>
        <w:rPr>
          <w:lang w:eastAsia="en-GB"/>
        </w:rPr>
      </w:pPr>
      <w:r w:rsidRPr="00715DA1">
        <w:rPr>
          <w:lang w:eastAsia="en-GB"/>
        </w:rPr>
        <w:t>"This vital research proves what many authors have long suspected: that inequalities are rife within our literary prizes, book festivals, reviews and publishing culture. The data within the Quine Report will empower authors and the SoAiS in our continuing work to create a fairer, more transparent and more equitable industry in Scotland."</w:t>
      </w:r>
    </w:p>
    <w:p w14:paraId="46040465" w14:textId="469CEAD9" w:rsidR="00715DA1" w:rsidRDefault="00715DA1" w:rsidP="0091752F">
      <w:pPr>
        <w:pStyle w:val="Quote"/>
        <w:spacing w:line="360" w:lineRule="auto"/>
        <w:rPr>
          <w:lang w:eastAsia="en-GB"/>
        </w:rPr>
      </w:pPr>
      <w:r>
        <w:rPr>
          <w:lang w:eastAsia="en-GB"/>
        </w:rPr>
        <w:t>–Helen Sedgwick and Mary Paulson-Ellis, co-chairs of Society of Authors in Scotland</w:t>
      </w:r>
    </w:p>
    <w:p w14:paraId="34F86C77" w14:textId="77777777" w:rsidR="00715DA1" w:rsidRDefault="00715DA1" w:rsidP="0091752F">
      <w:pPr>
        <w:spacing w:line="360" w:lineRule="auto"/>
        <w:rPr>
          <w:lang w:eastAsia="en-GB"/>
        </w:rPr>
      </w:pPr>
    </w:p>
    <w:p w14:paraId="5665BE2C" w14:textId="5CF6726D" w:rsidR="0091752F" w:rsidRPr="0091752F" w:rsidRDefault="0091752F" w:rsidP="0091752F">
      <w:pPr>
        <w:pStyle w:val="Quote"/>
        <w:spacing w:line="360" w:lineRule="auto"/>
        <w:rPr>
          <w:lang w:eastAsia="en-GB"/>
        </w:rPr>
      </w:pPr>
      <w:r>
        <w:rPr>
          <w:lang w:eastAsia="en-GB"/>
        </w:rPr>
        <w:t>“</w:t>
      </w:r>
      <w:r w:rsidRPr="0091752F">
        <w:rPr>
          <w:lang w:eastAsia="en-GB"/>
        </w:rPr>
        <w:t>The Quine Report is an important and insightful piece of research. It evidences what many of those working in Scotland’s literary sector have experienced and suspected for years: that women, particularly women of colour, are still at a disadvantage in our literary sector. The Quine Report shines a spotlight on book reviewing, festival programming, awards and publishing, and finds that Scotland’s literary sector has still not achieved gender equality. The data in the report will support our future advocacy work at EMCC. The publication of the Quine Report should be a moment for the literary sector, particularly those in positions of power, to listen, reflect and take action, so that the sector can progress towards equality and inclusion for all its workers.</w:t>
      </w:r>
      <w:r>
        <w:rPr>
          <w:lang w:eastAsia="en-GB"/>
        </w:rPr>
        <w:t>”</w:t>
      </w:r>
      <w:r>
        <w:rPr>
          <w:lang w:eastAsia="en-GB"/>
        </w:rPr>
        <w:br/>
      </w:r>
      <w:r>
        <w:rPr>
          <w:lang w:eastAsia="en-GB"/>
        </w:rPr>
        <w:br/>
        <w:t>–</w:t>
      </w:r>
      <w:r w:rsidRPr="0091752F">
        <w:rPr>
          <w:lang w:eastAsia="en-GB"/>
        </w:rPr>
        <w:t>Katie Goh, Project Manager at the Equal Media and Culture Centre  </w:t>
      </w:r>
    </w:p>
    <w:p w14:paraId="53ACC620" w14:textId="77777777" w:rsidR="0091752F" w:rsidRPr="00715DA1" w:rsidRDefault="0091752F" w:rsidP="0091752F">
      <w:pPr>
        <w:spacing w:line="360" w:lineRule="auto"/>
        <w:rPr>
          <w:lang w:eastAsia="en-GB"/>
        </w:rPr>
      </w:pPr>
    </w:p>
    <w:p w14:paraId="65503A52" w14:textId="77777777" w:rsidR="00715DA1" w:rsidRDefault="00715DA1" w:rsidP="0091752F">
      <w:pPr>
        <w:pStyle w:val="Quote"/>
        <w:spacing w:line="360" w:lineRule="auto"/>
      </w:pPr>
      <w:r w:rsidRPr="00715DA1">
        <w:t xml:space="preserve">“The context for Scottish writers is a complex one, straddling industry and arts-funded scenarios, Scotland and London and characterised by rapid change, income challenge and significant concerns of copyright infringement in the face of new technology. The Quine Report evidences a core issue in equality of opportunity, </w:t>
      </w:r>
      <w:r w:rsidRPr="00715DA1">
        <w:lastRenderedPageBreak/>
        <w:t>and will provide us with a useful tool to consider how responses to this complexity may best be structured to ensure fairness for all.”</w:t>
      </w:r>
    </w:p>
    <w:p w14:paraId="7360A01F" w14:textId="045C55B2" w:rsidR="00715DA1" w:rsidRDefault="00715DA1" w:rsidP="0091752F">
      <w:pPr>
        <w:pStyle w:val="Quote"/>
        <w:spacing w:line="360" w:lineRule="auto"/>
      </w:pPr>
      <w:r>
        <w:rPr>
          <w:lang w:eastAsia="en-GB"/>
        </w:rPr>
        <w:t>–Mairi Kidd, Chair of the Board, Literature Alliance Scotland</w:t>
      </w:r>
    </w:p>
    <w:p w14:paraId="40021890" w14:textId="77777777" w:rsidR="00715DA1" w:rsidRDefault="00715DA1" w:rsidP="0091752F">
      <w:pPr>
        <w:spacing w:line="360" w:lineRule="auto"/>
        <w:jc w:val="both"/>
        <w:rPr>
          <w:lang w:eastAsia="en-GB"/>
        </w:rPr>
      </w:pPr>
    </w:p>
    <w:p w14:paraId="12828B0C" w14:textId="77777777" w:rsidR="00715DA1" w:rsidRPr="00715DA1" w:rsidRDefault="00715DA1" w:rsidP="0091752F">
      <w:pPr>
        <w:spacing w:line="360" w:lineRule="auto"/>
        <w:jc w:val="both"/>
        <w:rPr>
          <w:lang w:eastAsia="en-GB"/>
        </w:rPr>
      </w:pPr>
    </w:p>
    <w:p w14:paraId="382E1EDA" w14:textId="77777777" w:rsidR="00715DA1" w:rsidRDefault="00715DA1" w:rsidP="0091752F">
      <w:pPr>
        <w:pStyle w:val="Quote"/>
        <w:spacing w:line="360" w:lineRule="auto"/>
        <w:rPr>
          <w:lang w:eastAsia="en-GB"/>
        </w:rPr>
      </w:pPr>
      <w:r w:rsidRPr="00715DA1">
        <w:rPr>
          <w:lang w:eastAsia="en-GB"/>
        </w:rPr>
        <w:t>“We welcome the spotlight on these issues - there is a lot to unpack in a wide-ranging piece of research that spans decades of literary prizes and additional data on the publishing and reviewing landscape in the late 2010s. In terms of our own area of the publishing and literature landscape, we will be looking at the data shown and the recommendations with our own EDI work in mind but also looking at the wider implications for the sector as a whole.”</w:t>
      </w:r>
    </w:p>
    <w:p w14:paraId="0A07291C" w14:textId="3CC3A217" w:rsidR="00715DA1" w:rsidRPr="00715DA1" w:rsidRDefault="00715DA1" w:rsidP="0091752F">
      <w:pPr>
        <w:pStyle w:val="Quote"/>
        <w:spacing w:line="360" w:lineRule="auto"/>
        <w:rPr>
          <w:lang w:eastAsia="en-GB"/>
        </w:rPr>
      </w:pPr>
      <w:r>
        <w:rPr>
          <w:lang w:eastAsia="en-GB"/>
        </w:rPr>
        <w:t>–Publishing Scotland</w:t>
      </w:r>
    </w:p>
    <w:p w14:paraId="1F75A891" w14:textId="77777777" w:rsidR="00715DA1" w:rsidRPr="00715DA1" w:rsidRDefault="00715DA1" w:rsidP="00715DA1">
      <w:pPr>
        <w:spacing w:line="360" w:lineRule="auto"/>
        <w:jc w:val="both"/>
        <w:rPr>
          <w:lang w:eastAsia="en-GB"/>
        </w:rPr>
      </w:pPr>
    </w:p>
    <w:p w14:paraId="769B9A71" w14:textId="77777777" w:rsidR="00715DA1" w:rsidRPr="00715DA1" w:rsidRDefault="00715DA1" w:rsidP="00715DA1"/>
    <w:p w14:paraId="34D66480" w14:textId="77777777" w:rsidR="00715DA1" w:rsidRDefault="00715DA1">
      <w:pPr>
        <w:spacing w:after="0" w:line="240" w:lineRule="auto"/>
        <w:rPr>
          <w:rFonts w:eastAsiaTheme="majorEastAsia" w:cs="Arial"/>
          <w:color w:val="0086A0" w:themeColor="accent1" w:themeShade="BF"/>
          <w:sz w:val="32"/>
          <w:szCs w:val="32"/>
        </w:rPr>
      </w:pPr>
      <w:r>
        <w:rPr>
          <w:rFonts w:cs="Arial"/>
        </w:rPr>
        <w:br w:type="page"/>
      </w:r>
    </w:p>
    <w:p w14:paraId="374D32BA" w14:textId="351D01AF" w:rsidR="00704C08" w:rsidRPr="001E0710" w:rsidRDefault="00000000" w:rsidP="001E678E">
      <w:pPr>
        <w:pStyle w:val="Heading1"/>
        <w:rPr>
          <w:rFonts w:ascii="Arial" w:hAnsi="Arial" w:cs="Arial"/>
        </w:rPr>
      </w:pPr>
      <w:bookmarkStart w:id="18" w:name="_Toc195538147"/>
      <w:r w:rsidRPr="001E0710">
        <w:rPr>
          <w:rFonts w:ascii="Arial" w:hAnsi="Arial" w:cs="Arial"/>
        </w:rPr>
        <w:lastRenderedPageBreak/>
        <w:t>Context</w:t>
      </w:r>
      <w:bookmarkEnd w:id="16"/>
      <w:bookmarkEnd w:id="18"/>
      <w:r w:rsidRPr="001E0710">
        <w:rPr>
          <w:rFonts w:ascii="Arial" w:hAnsi="Arial" w:cs="Arial"/>
        </w:rPr>
        <w:t xml:space="preserve"> </w:t>
      </w:r>
    </w:p>
    <w:p w14:paraId="279FCFC8" w14:textId="166FEB48" w:rsidR="00704C08" w:rsidRPr="001E0710" w:rsidRDefault="00000000" w:rsidP="001E0710">
      <w:pPr>
        <w:spacing w:line="360" w:lineRule="auto"/>
        <w:jc w:val="both"/>
        <w:rPr>
          <w:rFonts w:cs="Arial"/>
        </w:rPr>
      </w:pPr>
      <w:r w:rsidRPr="001E0710">
        <w:rPr>
          <w:rFonts w:cs="Arial"/>
        </w:rPr>
        <w:t xml:space="preserve">Scotland is a nation with a long </w:t>
      </w:r>
      <w:r w:rsidR="006A0599" w:rsidRPr="001E0710">
        <w:rPr>
          <w:rFonts w:cs="Arial"/>
        </w:rPr>
        <w:t>literary heritage</w:t>
      </w:r>
      <w:r w:rsidRPr="001E0710">
        <w:rPr>
          <w:rFonts w:cs="Arial"/>
        </w:rPr>
        <w:t xml:space="preserve">, and with notable historical and contemporary female writers such as Naomi Mitchison, Nan Shepherd, Jackie Kay, </w:t>
      </w:r>
      <w:r w:rsidR="006A0599" w:rsidRPr="001E0710">
        <w:rPr>
          <w:rFonts w:cs="Arial"/>
        </w:rPr>
        <w:t xml:space="preserve">Margaret Elphinstone, </w:t>
      </w:r>
      <w:r w:rsidRPr="001E0710">
        <w:rPr>
          <w:rFonts w:cs="Arial"/>
        </w:rPr>
        <w:t xml:space="preserve">Denise Mina and Hannah Lavery. </w:t>
      </w:r>
      <w:r w:rsidR="006A0599" w:rsidRPr="001E0710">
        <w:rPr>
          <w:rFonts w:cs="Arial"/>
        </w:rPr>
        <w:t>S</w:t>
      </w:r>
      <w:r w:rsidRPr="001E0710">
        <w:rPr>
          <w:rFonts w:cs="Arial"/>
        </w:rPr>
        <w:t>cholars note that</w:t>
      </w:r>
      <w:r w:rsidR="006A0599" w:rsidRPr="001E0710">
        <w:rPr>
          <w:rFonts w:cs="Arial"/>
        </w:rPr>
        <w:t xml:space="preserve">, throughout Scottish literary history, </w:t>
      </w:r>
      <w:r w:rsidRPr="001E0710">
        <w:rPr>
          <w:rFonts w:cs="Arial"/>
        </w:rPr>
        <w:t xml:space="preserve">women’s voices </w:t>
      </w:r>
      <w:r w:rsidR="006A0599" w:rsidRPr="001E0710">
        <w:rPr>
          <w:rFonts w:cs="Arial"/>
        </w:rPr>
        <w:t>have been</w:t>
      </w:r>
      <w:r w:rsidRPr="001E0710">
        <w:rPr>
          <w:rFonts w:cs="Arial"/>
        </w:rPr>
        <w:t xml:space="preserve"> pushed to the margins</w:t>
      </w:r>
      <w:r w:rsidR="00FB34F4" w:rsidRPr="00715DA1">
        <w:rPr>
          <w:rStyle w:val="FootnoteReference"/>
        </w:rPr>
        <w:footnoteReference w:id="7"/>
      </w:r>
      <w:r w:rsidR="00135E80">
        <w:rPr>
          <w:rFonts w:cs="Arial"/>
        </w:rPr>
        <w:t xml:space="preserve"> </w:t>
      </w:r>
      <w:r w:rsidRPr="001E0710">
        <w:rPr>
          <w:rFonts w:cs="Arial"/>
        </w:rPr>
        <w:t xml:space="preserve">– but also wonder whether </w:t>
      </w:r>
      <w:r w:rsidR="006A0599" w:rsidRPr="001E0710">
        <w:rPr>
          <w:rFonts w:cs="Arial"/>
        </w:rPr>
        <w:t>now</w:t>
      </w:r>
      <w:r w:rsidRPr="001E0710">
        <w:rPr>
          <w:rFonts w:cs="Arial"/>
        </w:rPr>
        <w:t xml:space="preserve">, in the 21st century, </w:t>
      </w:r>
      <w:r w:rsidR="006A0599" w:rsidRPr="001E0710">
        <w:rPr>
          <w:rFonts w:cs="Arial"/>
        </w:rPr>
        <w:t xml:space="preserve">this is </w:t>
      </w:r>
      <w:r w:rsidRPr="001E0710">
        <w:rPr>
          <w:rFonts w:cs="Arial"/>
        </w:rPr>
        <w:t>slowly changing:</w:t>
      </w:r>
    </w:p>
    <w:p w14:paraId="38F2E6B3" w14:textId="366D7C62" w:rsidR="00704C08" w:rsidRPr="0024460A" w:rsidRDefault="00000000" w:rsidP="0024460A">
      <w:pPr>
        <w:pStyle w:val="Quote"/>
      </w:pPr>
      <w:r w:rsidRPr="0024460A">
        <w:t>…in the last decade or so, […] the new Scottish canon has increasingly come to be referred to as made up of women writers such as [Janice] Galloway herself, Kathleen Jamie, Liz Lochhead, Jackie Kay, Louise Welsh and A. L. Kennedy, but also as including new names which are far too numerous all to be mentioned here – Jenni Fagan, Alice Thompson or Kirstin Innes to name but a few.</w:t>
      </w:r>
      <w:r w:rsidR="00CF3015" w:rsidRPr="00715DA1">
        <w:rPr>
          <w:rStyle w:val="FootnoteReference"/>
        </w:rPr>
        <w:footnoteReference w:id="8"/>
      </w:r>
    </w:p>
    <w:p w14:paraId="6F42E597" w14:textId="6E408113" w:rsidR="00704C08" w:rsidRPr="001E0710" w:rsidRDefault="00000000" w:rsidP="006A5D49">
      <w:pPr>
        <w:spacing w:line="360" w:lineRule="auto"/>
        <w:jc w:val="both"/>
        <w:rPr>
          <w:rFonts w:cs="Arial"/>
        </w:rPr>
        <w:sectPr w:rsidR="00704C08" w:rsidRPr="001E0710">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20"/>
          <w:formProt w:val="0"/>
          <w:docGrid w:linePitch="312" w:charSpace="-6145"/>
        </w:sectPr>
      </w:pPr>
      <w:r w:rsidRPr="001E0710">
        <w:rPr>
          <w:rFonts w:cs="Arial"/>
        </w:rPr>
        <w:t xml:space="preserve">How would we go about measuring </w:t>
      </w:r>
      <w:r w:rsidR="007C324D" w:rsidRPr="001E0710">
        <w:rPr>
          <w:rFonts w:cs="Arial"/>
        </w:rPr>
        <w:t>this change</w:t>
      </w:r>
      <w:r w:rsidRPr="001E0710">
        <w:rPr>
          <w:rFonts w:cs="Arial"/>
        </w:rPr>
        <w:t>? This report examines gender equality in</w:t>
      </w:r>
      <w:r w:rsidR="00E95C32" w:rsidRPr="001E0710">
        <w:rPr>
          <w:rFonts w:cs="Arial"/>
        </w:rPr>
        <w:t xml:space="preserve"> numbers, </w:t>
      </w:r>
      <w:r w:rsidR="006A5D49">
        <w:rPr>
          <w:rFonts w:cs="Arial"/>
        </w:rPr>
        <w:t>across</w:t>
      </w:r>
      <w:r w:rsidRPr="001E0710">
        <w:rPr>
          <w:rFonts w:cs="Arial"/>
        </w:rPr>
        <w:t xml:space="preserve"> four areas of the Scottish </w:t>
      </w:r>
      <w:r w:rsidR="00A2121A">
        <w:rPr>
          <w:rFonts w:cs="Arial"/>
        </w:rPr>
        <w:t>literary</w:t>
      </w:r>
      <w:r w:rsidRPr="001E0710">
        <w:rPr>
          <w:rFonts w:cs="Arial"/>
        </w:rPr>
        <w:t xml:space="preserve"> sector:</w:t>
      </w:r>
      <w:r w:rsidR="00E67B81" w:rsidRPr="001E0710">
        <w:rPr>
          <w:rFonts w:cs="Arial"/>
        </w:rPr>
        <w:t xml:space="preserve"> publishing, reviewing, book festival events, and literary prizes.</w:t>
      </w:r>
      <w:r w:rsidR="006A5D49">
        <w:rPr>
          <w:rFonts w:cs="Arial"/>
        </w:rPr>
        <w:t xml:space="preserve"> </w:t>
      </w:r>
      <w:r w:rsidRPr="001E0710">
        <w:rPr>
          <w:rFonts w:cs="Arial"/>
          <w:szCs w:val="24"/>
        </w:rPr>
        <w:t xml:space="preserve">Additionally, the report includes </w:t>
      </w:r>
      <w:r w:rsidRPr="001E0710">
        <w:rPr>
          <w:rFonts w:cs="Arial"/>
          <w:color w:val="000000"/>
          <w:szCs w:val="24"/>
        </w:rPr>
        <w:t>findings from interviews with</w:t>
      </w:r>
      <w:r w:rsidR="00E67B81" w:rsidRPr="001E0710">
        <w:rPr>
          <w:rFonts w:cs="Arial"/>
          <w:color w:val="000000"/>
          <w:szCs w:val="24"/>
        </w:rPr>
        <w:t xml:space="preserve"> decision-makers who shape Scottish literary taste and culture, including</w:t>
      </w:r>
      <w:r w:rsidRPr="001E0710">
        <w:rPr>
          <w:rFonts w:cs="Arial"/>
          <w:color w:val="000000"/>
          <w:szCs w:val="24"/>
        </w:rPr>
        <w:t xml:space="preserve"> </w:t>
      </w:r>
      <w:r w:rsidR="00E67B81" w:rsidRPr="001E0710">
        <w:rPr>
          <w:rFonts w:cs="Arial"/>
          <w:color w:val="000000"/>
          <w:szCs w:val="24"/>
        </w:rPr>
        <w:t>programmers, publishers, prize organisers, reviewers, and others leading literature organisation</w:t>
      </w:r>
      <w:r w:rsidR="00BC3D9C">
        <w:rPr>
          <w:rFonts w:cs="Arial"/>
          <w:color w:val="000000"/>
          <w:szCs w:val="24"/>
        </w:rPr>
        <w:t>s.</w:t>
      </w:r>
    </w:p>
    <w:p w14:paraId="746EB19C" w14:textId="46BE8024" w:rsidR="00704C08" w:rsidRPr="001E0710" w:rsidRDefault="00E67B81" w:rsidP="00BC3D9C">
      <w:pPr>
        <w:spacing w:line="360" w:lineRule="auto"/>
        <w:ind w:firstLine="720"/>
        <w:jc w:val="both"/>
        <w:rPr>
          <w:rFonts w:cs="Arial"/>
        </w:rPr>
      </w:pPr>
      <w:r w:rsidRPr="001E0710">
        <w:rPr>
          <w:rFonts w:cs="Arial"/>
        </w:rPr>
        <w:t xml:space="preserve">Inequality in literature </w:t>
      </w:r>
      <w:r w:rsidR="006A5D49">
        <w:rPr>
          <w:rFonts w:cs="Arial"/>
        </w:rPr>
        <w:t>is a major contemporary discussion</w:t>
      </w:r>
      <w:r w:rsidRPr="001E0710">
        <w:rPr>
          <w:rFonts w:cs="Arial"/>
        </w:rPr>
        <w:t xml:space="preserve">. For example, </w:t>
      </w:r>
      <w:r w:rsidR="00263252">
        <w:rPr>
          <w:rFonts w:cs="Arial"/>
        </w:rPr>
        <w:t>in 2020 the hashtag #</w:t>
      </w:r>
      <w:r w:rsidRPr="001E0710">
        <w:rPr>
          <w:rFonts w:cs="Arial"/>
        </w:rPr>
        <w:t>PublishingPaidMe</w:t>
      </w:r>
      <w:r w:rsidR="006A5D49">
        <w:rPr>
          <w:rFonts w:cs="Arial"/>
        </w:rPr>
        <w:t>,</w:t>
      </w:r>
      <w:r w:rsidRPr="001E0710">
        <w:rPr>
          <w:rFonts w:cs="Arial"/>
        </w:rPr>
        <w:t xml:space="preserve"> </w:t>
      </w:r>
      <w:r w:rsidR="00263252">
        <w:rPr>
          <w:rFonts w:cs="Arial"/>
        </w:rPr>
        <w:t>started by Black fantasy author LL McKinney</w:t>
      </w:r>
      <w:r w:rsidR="006A5D49">
        <w:rPr>
          <w:rFonts w:cs="Arial"/>
        </w:rPr>
        <w:t>,</w:t>
      </w:r>
      <w:r w:rsidR="00263252">
        <w:rPr>
          <w:rFonts w:cs="Arial"/>
        </w:rPr>
        <w:t xml:space="preserve"> collected responses on advance payments to authors and </w:t>
      </w:r>
      <w:r w:rsidRPr="001E0710">
        <w:rPr>
          <w:rFonts w:cs="Arial"/>
        </w:rPr>
        <w:t>highlighted disparities</w:t>
      </w:r>
      <w:r w:rsidR="00263252">
        <w:rPr>
          <w:rFonts w:cs="Arial"/>
        </w:rPr>
        <w:t xml:space="preserve"> between ethnicities</w:t>
      </w:r>
      <w:r w:rsidRPr="001E0710">
        <w:rPr>
          <w:rFonts w:cs="Arial"/>
        </w:rPr>
        <w:t>.</w:t>
      </w:r>
      <w:r w:rsidR="00263252" w:rsidRPr="00715DA1">
        <w:rPr>
          <w:rStyle w:val="FootnoteReference"/>
        </w:rPr>
        <w:footnoteReference w:id="9"/>
      </w:r>
      <w:r w:rsidRPr="001E0710">
        <w:rPr>
          <w:rFonts w:cs="Arial"/>
        </w:rPr>
        <w:t xml:space="preserve"> Other recent research has focussed on </w:t>
      </w:r>
      <w:r w:rsidR="006F3BE5" w:rsidRPr="001E0710">
        <w:rPr>
          <w:rFonts w:cs="Arial"/>
        </w:rPr>
        <w:t>who works in publishing</w:t>
      </w:r>
      <w:r w:rsidR="00263252" w:rsidRPr="00715DA1">
        <w:rPr>
          <w:rStyle w:val="FootnoteReference"/>
        </w:rPr>
        <w:footnoteReference w:id="10"/>
      </w:r>
      <w:r w:rsidRPr="001E0710">
        <w:rPr>
          <w:rFonts w:cs="Arial"/>
        </w:rPr>
        <w:t xml:space="preserve"> and </w:t>
      </w:r>
      <w:r w:rsidR="006F3BE5" w:rsidRPr="001E0710">
        <w:rPr>
          <w:rFonts w:cs="Arial"/>
        </w:rPr>
        <w:t>who gets published.</w:t>
      </w:r>
      <w:r w:rsidR="00263252" w:rsidRPr="00715DA1">
        <w:rPr>
          <w:rStyle w:val="FootnoteReference"/>
        </w:rPr>
        <w:footnoteReference w:id="11"/>
      </w:r>
      <w:r w:rsidR="006F3BE5" w:rsidRPr="001E0710">
        <w:rPr>
          <w:rFonts w:cs="Arial"/>
        </w:rPr>
        <w:t xml:space="preserve"> There is ample evidence from authors, publishing workers, researchers and activists to show that the literary sector isn’t equal</w:t>
      </w:r>
      <w:r w:rsidR="00D652CB">
        <w:rPr>
          <w:rFonts w:cs="Arial"/>
        </w:rPr>
        <w:t>.</w:t>
      </w:r>
      <w:r w:rsidR="00D652CB" w:rsidRPr="00715DA1">
        <w:rPr>
          <w:rStyle w:val="FootnoteReference"/>
        </w:rPr>
        <w:footnoteReference w:id="12"/>
      </w:r>
      <w:r w:rsidR="00D652CB">
        <w:rPr>
          <w:rFonts w:cs="Arial"/>
        </w:rPr>
        <w:t xml:space="preserve"> </w:t>
      </w:r>
      <w:r w:rsidR="006F3BE5" w:rsidRPr="001E0710">
        <w:rPr>
          <w:rFonts w:cs="Arial"/>
        </w:rPr>
        <w:t xml:space="preserve">This </w:t>
      </w:r>
      <w:r w:rsidRPr="001E0710">
        <w:rPr>
          <w:rFonts w:cs="Arial"/>
        </w:rPr>
        <w:t>report on</w:t>
      </w:r>
      <w:r w:rsidR="006F3BE5" w:rsidRPr="001E0710">
        <w:rPr>
          <w:rFonts w:cs="Arial"/>
        </w:rPr>
        <w:t xml:space="preserve"> </w:t>
      </w:r>
      <w:r w:rsidR="006F3BE5" w:rsidRPr="001E0710">
        <w:rPr>
          <w:rFonts w:cs="Arial"/>
        </w:rPr>
        <w:lastRenderedPageBreak/>
        <w:t>gender inequality in the Scottish literary sector intersects with a wide range of challenges.</w:t>
      </w:r>
    </w:p>
    <w:p w14:paraId="55A0B345" w14:textId="10BCA013" w:rsidR="00704C08" w:rsidRPr="001E0710" w:rsidRDefault="001E0710" w:rsidP="00F173B5">
      <w:pPr>
        <w:spacing w:line="360" w:lineRule="auto"/>
        <w:ind w:firstLine="720"/>
        <w:jc w:val="both"/>
        <w:rPr>
          <w:rFonts w:cs="Arial"/>
        </w:rPr>
      </w:pPr>
      <w:r>
        <w:rPr>
          <w:rFonts w:cs="Arial"/>
        </w:rPr>
        <w:t>T</w:t>
      </w:r>
      <w:r w:rsidR="00D242AD" w:rsidRPr="001E0710">
        <w:rPr>
          <w:rFonts w:cs="Arial"/>
        </w:rPr>
        <w:t>here has been renewed focus on sexual harassment catalysed through the cultural significance of the #MeToo movement</w:t>
      </w:r>
      <w:r w:rsidR="0035021D" w:rsidRPr="001E0710">
        <w:rPr>
          <w:rFonts w:cs="Arial"/>
        </w:rPr>
        <w:t>.</w:t>
      </w:r>
      <w:r w:rsidR="00CF3015" w:rsidRPr="00715DA1">
        <w:rPr>
          <w:rStyle w:val="FootnoteReference"/>
        </w:rPr>
        <w:footnoteReference w:id="13"/>
      </w:r>
      <w:r w:rsidR="00D242AD" w:rsidRPr="001E0710">
        <w:rPr>
          <w:rFonts w:cs="Arial"/>
        </w:rPr>
        <w:t xml:space="preserve"> Beginning as a reckoning within the film industry, with survivors of sexual violence speaking out publicly against their abusers and the widespread normalisation of abuse, outcries from survivors in other industries followed. </w:t>
      </w:r>
      <w:r w:rsidR="00E44A93" w:rsidRPr="001E0710">
        <w:rPr>
          <w:rFonts w:cs="Arial"/>
        </w:rPr>
        <w:t xml:space="preserve">In November 2017, </w:t>
      </w:r>
      <w:r w:rsidR="00D242AD" w:rsidRPr="001E0710">
        <w:rPr>
          <w:rFonts w:cs="Arial"/>
          <w:i/>
          <w:iCs/>
        </w:rPr>
        <w:t>The Bookseller</w:t>
      </w:r>
      <w:r w:rsidR="00D242AD" w:rsidRPr="001E0710">
        <w:rPr>
          <w:rFonts w:cs="Arial"/>
        </w:rPr>
        <w:t xml:space="preserve">, the UK trade magazine for the publishing industry, </w:t>
      </w:r>
      <w:r w:rsidR="00E44A93" w:rsidRPr="001E0710">
        <w:rPr>
          <w:rFonts w:cs="Arial"/>
        </w:rPr>
        <w:t xml:space="preserve">found </w:t>
      </w:r>
      <w:r w:rsidR="00D242AD" w:rsidRPr="001E0710">
        <w:rPr>
          <w:rFonts w:cs="Arial"/>
        </w:rPr>
        <w:t>that over half of survey participants had been sexually harassed</w:t>
      </w:r>
      <w:r w:rsidR="00703281" w:rsidRPr="001E0710">
        <w:rPr>
          <w:rFonts w:cs="Arial"/>
        </w:rPr>
        <w:t>.</w:t>
      </w:r>
      <w:r w:rsidR="00703281" w:rsidRPr="00715DA1">
        <w:rPr>
          <w:rStyle w:val="FootnoteReference"/>
        </w:rPr>
        <w:footnoteReference w:id="14"/>
      </w:r>
    </w:p>
    <w:p w14:paraId="555F786C" w14:textId="11A1366D" w:rsidR="00D242AD" w:rsidRPr="005E5F5C" w:rsidRDefault="006A5D49" w:rsidP="005E5F5C">
      <w:pPr>
        <w:spacing w:line="360" w:lineRule="auto"/>
        <w:ind w:firstLine="720"/>
        <w:jc w:val="both"/>
      </w:pPr>
      <w:r>
        <w:t>T</w:t>
      </w:r>
      <w:r w:rsidR="00D242AD" w:rsidRPr="005E5F5C">
        <w:t xml:space="preserve">ransphobia is </w:t>
      </w:r>
      <w:r>
        <w:t xml:space="preserve">also </w:t>
      </w:r>
      <w:r w:rsidR="00D242AD" w:rsidRPr="005E5F5C">
        <w:t xml:space="preserve">an </w:t>
      </w:r>
      <w:r w:rsidR="00BA781E" w:rsidRPr="005E5F5C">
        <w:t>issue in the publishing industry at large</w:t>
      </w:r>
      <w:r>
        <w:t>.</w:t>
      </w:r>
      <w:r w:rsidR="00BA781E" w:rsidRPr="005E5F5C">
        <w:t xml:space="preserve"> </w:t>
      </w:r>
      <w:r>
        <w:t>In an</w:t>
      </w:r>
      <w:r w:rsidR="00BA781E" w:rsidRPr="005E5F5C">
        <w:t xml:space="preserve"> open letter to </w:t>
      </w:r>
      <w:r w:rsidR="00BA781E" w:rsidRPr="005E5F5C">
        <w:rPr>
          <w:i/>
          <w:iCs/>
        </w:rPr>
        <w:t>The Bookseller</w:t>
      </w:r>
      <w:r w:rsidR="00BA781E" w:rsidRPr="005E5F5C">
        <w:t xml:space="preserve"> in </w:t>
      </w:r>
      <w:r w:rsidR="00BA781E" w:rsidRPr="006A5D49">
        <w:t xml:space="preserve">2021, </w:t>
      </w:r>
      <w:r w:rsidR="00EF49A7">
        <w:t xml:space="preserve">signatories </w:t>
      </w:r>
      <w:r>
        <w:t>“</w:t>
      </w:r>
      <w:r w:rsidR="00BA781E" w:rsidRPr="005E5F5C">
        <w:t xml:space="preserve">warned </w:t>
      </w:r>
      <w:r w:rsidR="00BA781E" w:rsidRPr="005E5F5C">
        <w:rPr>
          <w:rFonts w:ascii="Symbol" w:eastAsia="Symbol" w:hAnsi="Symbol" w:cs="Symbol"/>
        </w:rPr>
        <w:t>[</w:t>
      </w:r>
      <w:r w:rsidR="00BA781E" w:rsidRPr="005E5F5C">
        <w:t>that</w:t>
      </w:r>
      <w:r w:rsidR="00BA781E" w:rsidRPr="005E5F5C">
        <w:rPr>
          <w:rFonts w:ascii="Symbol" w:eastAsia="Symbol" w:hAnsi="Symbol" w:cs="Symbol"/>
        </w:rPr>
        <w:t>]</w:t>
      </w:r>
      <w:r w:rsidR="00BA781E" w:rsidRPr="005E5F5C">
        <w:t xml:space="preserve"> ‘transphobia is still perfectly acceptable in the British book industry’, arguing that what is needed is ‘quiet statements of acceptance from companies and organisations within our industry’.”</w:t>
      </w:r>
      <w:r w:rsidR="00684D21" w:rsidRPr="00715DA1">
        <w:rPr>
          <w:rStyle w:val="FootnoteReference"/>
        </w:rPr>
        <w:footnoteReference w:id="15"/>
      </w:r>
      <w:r w:rsidR="00A62D47" w:rsidRPr="005E5F5C">
        <w:t xml:space="preserve"> </w:t>
      </w:r>
      <w:r w:rsidR="00EF49A7">
        <w:t>The letter was signed by “</w:t>
      </w:r>
      <w:r w:rsidR="00EF49A7" w:rsidRPr="006A5D49">
        <w:t>British publishers, writers, illustrators, and booksellers</w:t>
      </w:r>
      <w:r w:rsidR="00EF49A7">
        <w:t>”.</w:t>
      </w:r>
      <w:r w:rsidR="00EF49A7" w:rsidRPr="00715DA1">
        <w:rPr>
          <w:rStyle w:val="FootnoteReference"/>
        </w:rPr>
        <w:footnoteReference w:id="16"/>
      </w:r>
      <w:r w:rsidR="00EF49A7">
        <w:t xml:space="preserve"> </w:t>
      </w:r>
      <w:r w:rsidR="00D242AD" w:rsidRPr="005E5F5C">
        <w:t>Trans authors in Scotland have also faced direct transphobia.</w:t>
      </w:r>
      <w:r w:rsidR="00E1759E" w:rsidRPr="00715DA1">
        <w:rPr>
          <w:rStyle w:val="FootnoteReference"/>
        </w:rPr>
        <w:footnoteReference w:id="17"/>
      </w:r>
    </w:p>
    <w:p w14:paraId="14711604" w14:textId="19DDBD79" w:rsidR="00704C08" w:rsidRPr="001E0710" w:rsidRDefault="00D242AD" w:rsidP="00F173B5">
      <w:pPr>
        <w:pStyle w:val="NormalWeb"/>
        <w:spacing w:line="360" w:lineRule="auto"/>
        <w:ind w:firstLine="720"/>
        <w:jc w:val="both"/>
        <w:rPr>
          <w:rFonts w:ascii="Arial" w:hAnsi="Arial" w:cs="Arial"/>
          <w:sz w:val="32"/>
          <w:szCs w:val="32"/>
        </w:rPr>
      </w:pPr>
      <w:r w:rsidRPr="001E0710">
        <w:rPr>
          <w:rFonts w:ascii="Arial" w:hAnsi="Arial" w:cs="Arial"/>
        </w:rPr>
        <w:t xml:space="preserve">This landscape of systemic gender discrimination shapes my work, which </w:t>
      </w:r>
      <w:r w:rsidR="00EF49A7">
        <w:rPr>
          <w:rFonts w:ascii="Arial" w:hAnsi="Arial" w:cs="Arial"/>
        </w:rPr>
        <w:t>has</w:t>
      </w:r>
      <w:r w:rsidRPr="001E0710">
        <w:rPr>
          <w:rFonts w:ascii="Arial" w:hAnsi="Arial" w:cs="Arial"/>
        </w:rPr>
        <w:t xml:space="preserve"> only consider</w:t>
      </w:r>
      <w:r w:rsidR="00EF49A7">
        <w:rPr>
          <w:rFonts w:ascii="Arial" w:hAnsi="Arial" w:cs="Arial"/>
        </w:rPr>
        <w:t>ed</w:t>
      </w:r>
      <w:r w:rsidRPr="001E0710">
        <w:rPr>
          <w:rFonts w:ascii="Arial" w:hAnsi="Arial" w:cs="Arial"/>
        </w:rPr>
        <w:t xml:space="preserve"> a few aspects of how discrimination happens in literature. This report adds to th</w:t>
      </w:r>
      <w:r w:rsidR="00EF49A7">
        <w:rPr>
          <w:rFonts w:ascii="Arial" w:hAnsi="Arial" w:cs="Arial"/>
        </w:rPr>
        <w:t xml:space="preserve">is </w:t>
      </w:r>
      <w:r w:rsidRPr="001E0710">
        <w:rPr>
          <w:rFonts w:ascii="Arial" w:hAnsi="Arial" w:cs="Arial"/>
        </w:rPr>
        <w:t>conversation clear findings on gender disparity across the Scottish literary sector, and interviews with tastemakers that consider where this disparity comes from.</w:t>
      </w:r>
    </w:p>
    <w:p w14:paraId="325E2F1B" w14:textId="77777777" w:rsidR="00F173B5" w:rsidRDefault="00F173B5">
      <w:pPr>
        <w:spacing w:after="0" w:line="240" w:lineRule="auto"/>
        <w:rPr>
          <w:rFonts w:eastAsiaTheme="majorEastAsia" w:cs="Arial"/>
          <w:color w:val="0086A0" w:themeColor="accent1" w:themeShade="BF"/>
          <w:sz w:val="32"/>
          <w:szCs w:val="32"/>
        </w:rPr>
      </w:pPr>
      <w:bookmarkStart w:id="19" w:name="_Toc180580122"/>
      <w:r>
        <w:rPr>
          <w:rFonts w:cs="Arial"/>
        </w:rPr>
        <w:br w:type="page"/>
      </w:r>
    </w:p>
    <w:p w14:paraId="51665126" w14:textId="7434417B" w:rsidR="00704C08" w:rsidRPr="001E0710" w:rsidRDefault="00EF49A7" w:rsidP="001E678E">
      <w:pPr>
        <w:pStyle w:val="Heading1"/>
        <w:rPr>
          <w:rFonts w:ascii="Arial" w:hAnsi="Arial" w:cs="Arial"/>
        </w:rPr>
      </w:pPr>
      <w:bookmarkStart w:id="20" w:name="_Toc195538148"/>
      <w:bookmarkStart w:id="21" w:name="OLE_LINK3"/>
      <w:bookmarkStart w:id="22" w:name="_Toc95404204"/>
      <w:bookmarkStart w:id="23" w:name="_Toc95404136"/>
      <w:bookmarkEnd w:id="14"/>
      <w:bookmarkEnd w:id="15"/>
      <w:bookmarkEnd w:id="19"/>
      <w:r>
        <w:rPr>
          <w:rFonts w:ascii="Arial" w:hAnsi="Arial" w:cs="Arial"/>
        </w:rPr>
        <w:lastRenderedPageBreak/>
        <w:t>The Numbers</w:t>
      </w:r>
      <w:bookmarkEnd w:id="20"/>
    </w:p>
    <w:p w14:paraId="7C6FD0F2" w14:textId="77777777" w:rsidR="00E44A93" w:rsidRPr="001E0710" w:rsidRDefault="00000000" w:rsidP="001E678E">
      <w:pPr>
        <w:pStyle w:val="Heading2"/>
        <w:rPr>
          <w:rFonts w:cs="Arial"/>
        </w:rPr>
      </w:pPr>
      <w:bookmarkStart w:id="24" w:name="_Toc180580123"/>
      <w:bookmarkStart w:id="25" w:name="_Toc195538149"/>
      <w:r w:rsidRPr="001E0710">
        <w:rPr>
          <w:rStyle w:val="cf01"/>
          <w:rFonts w:ascii="Arial" w:hAnsi="Arial" w:cs="Arial"/>
          <w:sz w:val="32"/>
          <w:szCs w:val="32"/>
        </w:rPr>
        <w:t>Note on methodology: counting gender and ethnicity</w:t>
      </w:r>
      <w:bookmarkEnd w:id="24"/>
      <w:bookmarkEnd w:id="25"/>
    </w:p>
    <w:p w14:paraId="4CB3357E" w14:textId="77777777" w:rsidR="00715DA1" w:rsidRDefault="00000000" w:rsidP="00715DA1">
      <w:pPr>
        <w:spacing w:line="360" w:lineRule="auto"/>
        <w:ind w:firstLine="720"/>
        <w:jc w:val="both"/>
        <w:rPr>
          <w:rFonts w:cs="Arial"/>
          <w:color w:val="000000" w:themeColor="text1"/>
        </w:rPr>
      </w:pPr>
      <w:r w:rsidRPr="001E0710">
        <w:rPr>
          <w:rFonts w:cs="Arial"/>
        </w:rPr>
        <w:t>For the quantitative section, gender was counted in three categories: men, women, and non-binary people. This means that trans women were counted as women, trans men were counted as men, and writers whose gender falls outside these categories were counted as non-binary</w:t>
      </w:r>
      <w:r w:rsidR="000D4DE0" w:rsidRPr="001E0710">
        <w:rPr>
          <w:rFonts w:cs="Arial"/>
        </w:rPr>
        <w:t>.</w:t>
      </w:r>
      <w:r w:rsidR="00684D21" w:rsidRPr="00715DA1">
        <w:rPr>
          <w:rStyle w:val="FootnoteReference"/>
        </w:rPr>
        <w:footnoteReference w:id="18"/>
      </w:r>
      <w:r w:rsidRPr="001E0710">
        <w:rPr>
          <w:rFonts w:cs="Arial"/>
        </w:rPr>
        <w:t xml:space="preserve"> Publicly available biographical information was used to log an author’s gender.</w:t>
      </w:r>
      <w:r w:rsidR="00E44A93" w:rsidRPr="00715DA1">
        <w:rPr>
          <w:rStyle w:val="FootnoteReference"/>
        </w:rPr>
        <w:footnoteReference w:id="19"/>
      </w:r>
      <w:r w:rsidRPr="001E0710">
        <w:rPr>
          <w:rFonts w:cs="Arial"/>
        </w:rPr>
        <w:t xml:space="preserve"> Information was correct at the time of collection. Where no gender data was available, this </w:t>
      </w:r>
      <w:r w:rsidR="00BE58AD" w:rsidRPr="001E0710">
        <w:rPr>
          <w:rFonts w:cs="Arial"/>
        </w:rPr>
        <w:t>i</w:t>
      </w:r>
      <w:r w:rsidRPr="001E0710">
        <w:rPr>
          <w:rFonts w:cs="Arial"/>
        </w:rPr>
        <w:t>s also noted in the figures.</w:t>
      </w:r>
      <w:r w:rsidR="00EF49A7">
        <w:rPr>
          <w:rFonts w:cs="Arial"/>
        </w:rPr>
        <w:t xml:space="preserve"> </w:t>
      </w:r>
      <w:r w:rsidR="00EF49A7" w:rsidRPr="004864C2">
        <w:rPr>
          <w:rFonts w:cs="Arial"/>
          <w:color w:val="000000" w:themeColor="text1"/>
        </w:rPr>
        <w:t>Where a book had more than one author or editor, I counted that book multiple times</w:t>
      </w:r>
      <w:r w:rsidR="00EF49A7">
        <w:rPr>
          <w:rFonts w:cs="Arial"/>
          <w:color w:val="000000" w:themeColor="text1"/>
        </w:rPr>
        <w:t xml:space="preserve">, that is to say, I counted its authors rather than the book (e.g. a book by two female authors was counted twice, once for each author, rather than counting </w:t>
      </w:r>
      <w:r w:rsidR="00726409">
        <w:rPr>
          <w:rFonts w:cs="Arial"/>
          <w:color w:val="000000" w:themeColor="text1"/>
        </w:rPr>
        <w:t xml:space="preserve">it </w:t>
      </w:r>
      <w:r w:rsidR="00EF49A7">
        <w:rPr>
          <w:rFonts w:cs="Arial"/>
          <w:color w:val="000000" w:themeColor="text1"/>
        </w:rPr>
        <w:t xml:space="preserve">once as a female-authored book). </w:t>
      </w:r>
      <w:r w:rsidR="00EF49A7" w:rsidRPr="004864C2">
        <w:rPr>
          <w:rFonts w:cs="Arial"/>
          <w:color w:val="000000" w:themeColor="text1"/>
        </w:rPr>
        <w:t xml:space="preserve">I </w:t>
      </w:r>
      <w:r w:rsidR="00EF49A7">
        <w:rPr>
          <w:rFonts w:cs="Arial"/>
          <w:color w:val="000000" w:themeColor="text1"/>
        </w:rPr>
        <w:t>counted</w:t>
      </w:r>
      <w:r w:rsidR="00EF49A7" w:rsidRPr="004864C2">
        <w:rPr>
          <w:rFonts w:cs="Arial"/>
          <w:color w:val="000000" w:themeColor="text1"/>
        </w:rPr>
        <w:t xml:space="preserve"> </w:t>
      </w:r>
      <w:r w:rsidR="00EF49A7">
        <w:rPr>
          <w:rFonts w:cs="Arial"/>
          <w:color w:val="000000" w:themeColor="text1"/>
        </w:rPr>
        <w:t>anthologies</w:t>
      </w:r>
      <w:r w:rsidR="00EF49A7" w:rsidRPr="004864C2">
        <w:rPr>
          <w:rFonts w:cs="Arial"/>
          <w:color w:val="000000" w:themeColor="text1"/>
        </w:rPr>
        <w:t xml:space="preserve"> </w:t>
      </w:r>
      <w:r w:rsidR="00EF49A7">
        <w:rPr>
          <w:rFonts w:cs="Arial"/>
          <w:color w:val="000000" w:themeColor="text1"/>
        </w:rPr>
        <w:t xml:space="preserve">by their editors rather than by contributors, because contributors </w:t>
      </w:r>
      <w:r w:rsidR="00EF49A7" w:rsidRPr="004864C2">
        <w:rPr>
          <w:rFonts w:cs="Arial"/>
          <w:color w:val="000000" w:themeColor="text1"/>
        </w:rPr>
        <w:t xml:space="preserve">are not universally present </w:t>
      </w:r>
      <w:r w:rsidR="00EF49A7">
        <w:rPr>
          <w:rFonts w:cs="Arial"/>
          <w:color w:val="000000" w:themeColor="text1"/>
        </w:rPr>
        <w:t>on the book’s cover or metadata.</w:t>
      </w:r>
    </w:p>
    <w:p w14:paraId="7C43D8DA" w14:textId="2295FAD8" w:rsidR="00E44A93" w:rsidRPr="00715DA1" w:rsidRDefault="00715DA1" w:rsidP="00715DA1">
      <w:pPr>
        <w:spacing w:line="360" w:lineRule="auto"/>
        <w:ind w:firstLine="720"/>
        <w:jc w:val="both"/>
        <w:rPr>
          <w:rFonts w:cs="Arial"/>
          <w:color w:val="000000" w:themeColor="text1"/>
        </w:rPr>
      </w:pPr>
      <w:r w:rsidRPr="00715DA1">
        <w:t>For comparison, the latest Census for Scotland found that there were 2,794,900 women (51.4%) in Scotland and 2,641,800 men (48.6%).</w:t>
      </w:r>
      <w:r>
        <w:rPr>
          <w:rStyle w:val="FootnoteReference"/>
        </w:rPr>
        <w:footnoteReference w:id="20"/>
      </w:r>
      <w:r w:rsidRPr="00715DA1">
        <w:t xml:space="preserve"> These percentages are almost the same as those measured in 2011, when it was 51.5% women and 48.5% men</w:t>
      </w:r>
      <w:r w:rsidR="00E44A93" w:rsidRPr="001E0710">
        <w:rPr>
          <w:rFonts w:cs="Arial"/>
          <w:szCs w:val="24"/>
        </w:rPr>
        <w:t>.</w:t>
      </w:r>
      <w:r w:rsidR="00E44A93" w:rsidRPr="00715DA1">
        <w:rPr>
          <w:rStyle w:val="FootnoteReference"/>
        </w:rPr>
        <w:footnoteReference w:id="21"/>
      </w:r>
      <w:r w:rsidR="00E44A93" w:rsidRPr="001E0710">
        <w:rPr>
          <w:rFonts w:cs="Arial"/>
          <w:szCs w:val="24"/>
        </w:rPr>
        <w:t xml:space="preserve"> The 2022 Scottish Census did not collect data on non-binary people; however it </w:t>
      </w:r>
      <w:r w:rsidR="00E44A93" w:rsidRPr="001E0710">
        <w:rPr>
          <w:rFonts w:cs="Arial"/>
        </w:rPr>
        <w:t>found that 19,970 (0.</w:t>
      </w:r>
      <w:r w:rsidR="00E44A93" w:rsidRPr="001E0710">
        <w:rPr>
          <w:rFonts w:cs="Arial"/>
          <w:szCs w:val="24"/>
        </w:rPr>
        <w:t>44%) of the population over 16 was trans or had a trans history.</w:t>
      </w:r>
      <w:r w:rsidR="00E44A93" w:rsidRPr="00715DA1">
        <w:rPr>
          <w:rStyle w:val="FootnoteReference"/>
        </w:rPr>
        <w:footnoteReference w:id="22"/>
      </w:r>
      <w:r w:rsidR="000D4DE0" w:rsidRPr="001E0710">
        <w:rPr>
          <w:rFonts w:cs="Arial"/>
          <w:szCs w:val="24"/>
        </w:rPr>
        <w:t xml:space="preserve"> </w:t>
      </w:r>
      <w:r w:rsidR="00EF49A7">
        <w:rPr>
          <w:rFonts w:cs="Arial"/>
          <w:szCs w:val="24"/>
        </w:rPr>
        <w:t xml:space="preserve">The data in this report cannot be compared to the trans population in Scotland, as I did not count trans people in a separate category. </w:t>
      </w:r>
      <w:r w:rsidR="00E44A93" w:rsidRPr="001E0710">
        <w:rPr>
          <w:rFonts w:cs="Arial"/>
        </w:rPr>
        <w:t>The lack of census information about non-binary people makes it impossible to assess whether representation of non-binary writers is proportional to the Scottish population</w:t>
      </w:r>
      <w:r w:rsidR="00EF49A7">
        <w:rPr>
          <w:rFonts w:cs="Arial"/>
        </w:rPr>
        <w:t>.</w:t>
      </w:r>
    </w:p>
    <w:p w14:paraId="4B1CE1FC" w14:textId="62ABB846" w:rsidR="00073EE4" w:rsidRPr="001E0710" w:rsidRDefault="00073EE4" w:rsidP="00F173B5">
      <w:pPr>
        <w:spacing w:line="360" w:lineRule="auto"/>
        <w:ind w:firstLine="720"/>
        <w:jc w:val="both"/>
        <w:rPr>
          <w:rFonts w:cs="Arial"/>
          <w:color w:val="000000" w:themeColor="text1"/>
        </w:rPr>
      </w:pPr>
      <w:r w:rsidRPr="001E0710">
        <w:rPr>
          <w:rFonts w:cs="Arial"/>
          <w:color w:val="000000" w:themeColor="text1"/>
        </w:rPr>
        <w:lastRenderedPageBreak/>
        <w:t xml:space="preserve">This study </w:t>
      </w:r>
      <w:r w:rsidR="000D4DE0" w:rsidRPr="001E0710">
        <w:rPr>
          <w:rFonts w:cs="Arial"/>
          <w:color w:val="000000" w:themeColor="text1"/>
        </w:rPr>
        <w:t xml:space="preserve">largely </w:t>
      </w:r>
      <w:r w:rsidRPr="001E0710">
        <w:rPr>
          <w:rFonts w:cs="Arial"/>
          <w:color w:val="000000" w:themeColor="text1"/>
        </w:rPr>
        <w:t xml:space="preserve">focuses on </w:t>
      </w:r>
      <w:r w:rsidR="00F0312F" w:rsidRPr="001E0710">
        <w:rPr>
          <w:rFonts w:cs="Arial"/>
          <w:color w:val="000000" w:themeColor="text1"/>
        </w:rPr>
        <w:t>one axis</w:t>
      </w:r>
      <w:r w:rsidRPr="001E0710">
        <w:rPr>
          <w:rFonts w:cs="Arial"/>
          <w:color w:val="000000" w:themeColor="text1"/>
        </w:rPr>
        <w:t xml:space="preserve"> of oppression,</w:t>
      </w:r>
      <w:r w:rsidR="00F0312F" w:rsidRPr="001E0710">
        <w:rPr>
          <w:rFonts w:cs="Arial"/>
          <w:color w:val="000000" w:themeColor="text1"/>
        </w:rPr>
        <w:t xml:space="preserve"> gender,</w:t>
      </w:r>
      <w:r w:rsidRPr="001E0710">
        <w:rPr>
          <w:rFonts w:cs="Arial"/>
          <w:color w:val="000000" w:themeColor="text1"/>
        </w:rPr>
        <w:t xml:space="preserve"> which is overly simplistic and insufficient</w:t>
      </w:r>
      <w:r w:rsidR="000D4DE0" w:rsidRPr="001E0710">
        <w:rPr>
          <w:rFonts w:cs="Arial"/>
          <w:color w:val="000000" w:themeColor="text1"/>
        </w:rPr>
        <w:t>.</w:t>
      </w:r>
      <w:r w:rsidR="00684D21" w:rsidRPr="00715DA1">
        <w:rPr>
          <w:rStyle w:val="FootnoteReference"/>
        </w:rPr>
        <w:footnoteReference w:id="23"/>
      </w:r>
      <w:r w:rsidRPr="001E0710">
        <w:rPr>
          <w:rFonts w:cs="Arial"/>
          <w:color w:val="000000" w:themeColor="text1"/>
        </w:rPr>
        <w:t xml:space="preserve"> </w:t>
      </w:r>
      <w:r w:rsidR="00EF49A7">
        <w:rPr>
          <w:rFonts w:cs="Arial"/>
          <w:color w:val="000000" w:themeColor="text1"/>
        </w:rPr>
        <w:t>Providing evidence of</w:t>
      </w:r>
      <w:r w:rsidRPr="001E0710">
        <w:rPr>
          <w:rFonts w:cs="Arial"/>
          <w:color w:val="000000" w:themeColor="text1"/>
        </w:rPr>
        <w:t xml:space="preserve"> gender inequality on its own is not enough and does not show the full picture of inequality. </w:t>
      </w:r>
      <w:r w:rsidR="000D4DE0" w:rsidRPr="001E0710">
        <w:rPr>
          <w:rFonts w:cs="Arial"/>
          <w:color w:val="000000" w:themeColor="text1"/>
        </w:rPr>
        <w:t>I</w:t>
      </w:r>
      <w:r w:rsidRPr="001E0710">
        <w:rPr>
          <w:rFonts w:cs="Arial"/>
          <w:color w:val="000000" w:themeColor="text1"/>
        </w:rPr>
        <w:t>t is urgently necessary to review racism, class inequality, ableism, and other structural inequalities in the Scottish literary sector. Some of this work is already occurring, for example Guyan’s recent surveys of the experiences of BPOC writers in Scotland</w:t>
      </w:r>
      <w:r w:rsidR="000D4DE0" w:rsidRPr="001E0710">
        <w:rPr>
          <w:rFonts w:cs="Arial"/>
          <w:color w:val="000000" w:themeColor="text1"/>
        </w:rPr>
        <w:t>.</w:t>
      </w:r>
      <w:r w:rsidR="00684D21" w:rsidRPr="00715DA1">
        <w:rPr>
          <w:rStyle w:val="FootnoteReference"/>
        </w:rPr>
        <w:footnoteReference w:id="24"/>
      </w:r>
      <w:r w:rsidRPr="001E0710">
        <w:rPr>
          <w:rFonts w:cs="Arial"/>
          <w:color w:val="000000" w:themeColor="text1"/>
        </w:rPr>
        <w:t xml:space="preserve"> Guyan found that “79% of respondents disagreed or strongly disagreed that people of colour and white Scottish people have equal opportunities to succeed in Scotland’s literary sector</w:t>
      </w:r>
      <w:r w:rsidR="00D41088">
        <w:rPr>
          <w:rFonts w:cs="Arial"/>
          <w:color w:val="000000" w:themeColor="text1"/>
        </w:rPr>
        <w:t>.</w:t>
      </w:r>
      <w:r w:rsidRPr="001E0710">
        <w:rPr>
          <w:rFonts w:cs="Arial"/>
          <w:color w:val="000000" w:themeColor="text1"/>
        </w:rPr>
        <w:t>”</w:t>
      </w:r>
      <w:r w:rsidR="00684D21" w:rsidRPr="00715DA1">
        <w:rPr>
          <w:rStyle w:val="FootnoteReference"/>
        </w:rPr>
        <w:footnoteReference w:id="25"/>
      </w:r>
      <w:r w:rsidR="000D4DE0" w:rsidRPr="001E0710">
        <w:rPr>
          <w:rFonts w:cs="Arial"/>
          <w:color w:val="000000" w:themeColor="text1"/>
        </w:rPr>
        <w:t xml:space="preserve"> </w:t>
      </w:r>
    </w:p>
    <w:p w14:paraId="539EA314" w14:textId="0F11EA71" w:rsidR="00704C08" w:rsidRPr="001E0710" w:rsidRDefault="00000000" w:rsidP="00DB23CB">
      <w:pPr>
        <w:spacing w:line="360" w:lineRule="auto"/>
        <w:ind w:firstLine="720"/>
        <w:jc w:val="both"/>
        <w:rPr>
          <w:rFonts w:cs="Arial"/>
          <w:color w:val="000000" w:themeColor="text1"/>
        </w:rPr>
      </w:pPr>
      <w:r w:rsidRPr="001E0710">
        <w:rPr>
          <w:rFonts w:cs="Arial"/>
          <w:color w:val="000000" w:themeColor="text1"/>
        </w:rPr>
        <w:t xml:space="preserve">It was not possible within the time constraints of this project to record ethnicity consistently and in sufficient detail, so this vital statistic is missing from </w:t>
      </w:r>
      <w:r w:rsidRPr="001E0710">
        <w:rPr>
          <w:rFonts w:cs="Arial"/>
          <w:i/>
          <w:iCs/>
          <w:color w:val="000000" w:themeColor="text1"/>
        </w:rPr>
        <w:t>Publishing</w:t>
      </w:r>
      <w:r w:rsidRPr="001E0710">
        <w:rPr>
          <w:rFonts w:cs="Arial"/>
          <w:color w:val="000000" w:themeColor="text1"/>
        </w:rPr>
        <w:t xml:space="preserve">, </w:t>
      </w:r>
      <w:r w:rsidRPr="001E0710">
        <w:rPr>
          <w:rFonts w:cs="Arial"/>
          <w:i/>
          <w:iCs/>
          <w:color w:val="000000" w:themeColor="text1"/>
        </w:rPr>
        <w:t xml:space="preserve">Reviewing, </w:t>
      </w:r>
      <w:r w:rsidRPr="001E0710">
        <w:rPr>
          <w:rFonts w:cs="Arial"/>
          <w:color w:val="000000" w:themeColor="text1"/>
        </w:rPr>
        <w:t xml:space="preserve">and </w:t>
      </w:r>
      <w:r w:rsidRPr="001E0710">
        <w:rPr>
          <w:rFonts w:cs="Arial"/>
          <w:i/>
          <w:iCs/>
          <w:color w:val="000000" w:themeColor="text1"/>
        </w:rPr>
        <w:t xml:space="preserve">Book </w:t>
      </w:r>
      <w:r w:rsidR="000D4DE0" w:rsidRPr="001E0710">
        <w:rPr>
          <w:rFonts w:cs="Arial"/>
          <w:i/>
          <w:iCs/>
          <w:color w:val="000000" w:themeColor="text1"/>
        </w:rPr>
        <w:t>f</w:t>
      </w:r>
      <w:r w:rsidRPr="001E0710">
        <w:rPr>
          <w:rFonts w:cs="Arial"/>
          <w:i/>
          <w:iCs/>
          <w:color w:val="000000" w:themeColor="text1"/>
        </w:rPr>
        <w:t>estivals</w:t>
      </w:r>
      <w:r w:rsidRPr="001E0710">
        <w:rPr>
          <w:rFonts w:cs="Arial"/>
          <w:color w:val="000000" w:themeColor="text1"/>
        </w:rPr>
        <w:t xml:space="preserve">. Findings in </w:t>
      </w:r>
      <w:r w:rsidR="000D4DE0" w:rsidRPr="001E0710">
        <w:rPr>
          <w:rFonts w:cs="Arial"/>
          <w:i/>
          <w:iCs/>
          <w:color w:val="000000" w:themeColor="text1"/>
        </w:rPr>
        <w:t>Amplifying visibility</w:t>
      </w:r>
      <w:r w:rsidRPr="001E0710">
        <w:rPr>
          <w:rFonts w:cs="Arial"/>
          <w:color w:val="000000" w:themeColor="text1"/>
        </w:rPr>
        <w:t xml:space="preserve"> show that authors who appeared in all four areas </w:t>
      </w:r>
      <w:r w:rsidR="00726409">
        <w:rPr>
          <w:rFonts w:cs="Arial"/>
          <w:color w:val="000000" w:themeColor="text1"/>
        </w:rPr>
        <w:t xml:space="preserve">of </w:t>
      </w:r>
      <w:r w:rsidRPr="001E0710">
        <w:rPr>
          <w:rFonts w:cs="Arial"/>
          <w:color w:val="000000" w:themeColor="text1"/>
        </w:rPr>
        <w:t>publishing, reviewing, festivals and prizes</w:t>
      </w:r>
      <w:r w:rsidR="000D4DE0" w:rsidRPr="001E0710">
        <w:rPr>
          <w:rFonts w:cs="Arial"/>
          <w:color w:val="000000" w:themeColor="text1"/>
        </w:rPr>
        <w:t xml:space="preserve"> </w:t>
      </w:r>
      <w:r w:rsidRPr="001E0710">
        <w:rPr>
          <w:rFonts w:cs="Arial"/>
          <w:color w:val="000000" w:themeColor="text1"/>
        </w:rPr>
        <w:t>were all white, and most of them were men</w:t>
      </w:r>
      <w:r w:rsidR="000D4DE0" w:rsidRPr="001E0710">
        <w:rPr>
          <w:rFonts w:cs="Arial"/>
          <w:color w:val="000000" w:themeColor="text1"/>
        </w:rPr>
        <w:t>.</w:t>
      </w:r>
      <w:r w:rsidR="00A06F10" w:rsidRPr="001E0710">
        <w:rPr>
          <w:rFonts w:cs="Arial"/>
          <w:color w:val="000000" w:themeColor="text1"/>
        </w:rPr>
        <w:t xml:space="preserve"> T</w:t>
      </w:r>
      <w:r w:rsidRPr="001E0710">
        <w:rPr>
          <w:rFonts w:cs="Arial"/>
          <w:color w:val="000000" w:themeColor="text1"/>
        </w:rPr>
        <w:t xml:space="preserve">hese findings are possible because there was sufficient biographical information about this small group. The section </w:t>
      </w:r>
      <w:r w:rsidRPr="001E0710">
        <w:rPr>
          <w:rFonts w:cs="Arial"/>
          <w:i/>
          <w:iCs/>
          <w:color w:val="000000" w:themeColor="text1"/>
        </w:rPr>
        <w:t xml:space="preserve">Literary prizes </w:t>
      </w:r>
      <w:r w:rsidR="00F346C8">
        <w:rPr>
          <w:rFonts w:cs="Arial"/>
          <w:i/>
          <w:iCs/>
          <w:color w:val="000000" w:themeColor="text1"/>
        </w:rPr>
        <w:t>1919</w:t>
      </w:r>
      <w:r w:rsidRPr="001E0710">
        <w:rPr>
          <w:rFonts w:cs="Arial"/>
          <w:i/>
          <w:iCs/>
          <w:color w:val="000000" w:themeColor="text1"/>
        </w:rPr>
        <w:t>-</w:t>
      </w:r>
      <w:r w:rsidR="00E44A93" w:rsidRPr="001E0710">
        <w:rPr>
          <w:rFonts w:cs="Arial"/>
          <w:i/>
          <w:iCs/>
          <w:color w:val="000000" w:themeColor="text1"/>
        </w:rPr>
        <w:t>2024</w:t>
      </w:r>
      <w:r w:rsidR="00E44A93" w:rsidRPr="001E0710">
        <w:rPr>
          <w:rFonts w:cs="Arial"/>
          <w:color w:val="000000" w:themeColor="text1"/>
        </w:rPr>
        <w:t xml:space="preserve"> </w:t>
      </w:r>
      <w:r w:rsidRPr="001E0710">
        <w:rPr>
          <w:rFonts w:cs="Arial"/>
          <w:color w:val="000000" w:themeColor="text1"/>
        </w:rPr>
        <w:t xml:space="preserve">also includes some findings on the number of </w:t>
      </w:r>
      <w:r w:rsidR="00F928CF">
        <w:rPr>
          <w:rFonts w:cs="Arial"/>
          <w:color w:val="000000" w:themeColor="text1"/>
        </w:rPr>
        <w:t>BPOC authors</w:t>
      </w:r>
      <w:r w:rsidRPr="001E0710">
        <w:rPr>
          <w:rFonts w:cs="Arial"/>
          <w:color w:val="000000" w:themeColor="text1"/>
        </w:rPr>
        <w:t xml:space="preserve"> who </w:t>
      </w:r>
      <w:r w:rsidR="00A06F10" w:rsidRPr="001E0710">
        <w:rPr>
          <w:rFonts w:cs="Arial"/>
          <w:color w:val="000000" w:themeColor="text1"/>
        </w:rPr>
        <w:t>won or were shortlisted</w:t>
      </w:r>
      <w:r w:rsidRPr="001E0710">
        <w:rPr>
          <w:rFonts w:cs="Arial"/>
          <w:color w:val="000000" w:themeColor="text1"/>
        </w:rPr>
        <w:t>, where</w:t>
      </w:r>
      <w:r w:rsidR="00A06F10" w:rsidRPr="001E0710">
        <w:rPr>
          <w:rFonts w:cs="Arial"/>
          <w:color w:val="000000" w:themeColor="text1"/>
        </w:rPr>
        <w:t xml:space="preserve"> </w:t>
      </w:r>
      <w:r w:rsidRPr="001E0710">
        <w:rPr>
          <w:rFonts w:cs="Arial"/>
          <w:color w:val="000000" w:themeColor="text1"/>
        </w:rPr>
        <w:t>ethnicity information was reliably available.</w:t>
      </w:r>
    </w:p>
    <w:p w14:paraId="3E3A977E" w14:textId="77777777" w:rsidR="001A6652" w:rsidRPr="001E0710" w:rsidRDefault="001A6652" w:rsidP="001A6652">
      <w:pPr>
        <w:pStyle w:val="Heading2"/>
        <w:rPr>
          <w:rFonts w:cs="Arial"/>
        </w:rPr>
      </w:pPr>
      <w:bookmarkStart w:id="26" w:name="_Toc195538150"/>
      <w:bookmarkStart w:id="27" w:name="OLE_LINK4"/>
      <w:bookmarkStart w:id="28" w:name="_Toc180580124"/>
      <w:bookmarkEnd w:id="21"/>
      <w:r w:rsidRPr="001E0710">
        <w:rPr>
          <w:rFonts w:cs="Arial"/>
        </w:rPr>
        <w:t xml:space="preserve">Literary prizes </w:t>
      </w:r>
      <w:r>
        <w:rPr>
          <w:rFonts w:cs="Arial"/>
        </w:rPr>
        <w:t>1919</w:t>
      </w:r>
      <w:r w:rsidRPr="001E0710">
        <w:rPr>
          <w:rFonts w:cs="Arial"/>
        </w:rPr>
        <w:t>-2024</w:t>
      </w:r>
      <w:bookmarkEnd w:id="26"/>
    </w:p>
    <w:p w14:paraId="68D2A4D9" w14:textId="77777777" w:rsidR="001A6652" w:rsidRPr="00AF09A1" w:rsidRDefault="001A6652" w:rsidP="001A6652">
      <w:pPr>
        <w:spacing w:line="360" w:lineRule="auto"/>
        <w:contextualSpacing/>
        <w:jc w:val="both"/>
        <w:rPr>
          <w:rStyle w:val="IntenseEmphasis"/>
        </w:rPr>
      </w:pPr>
      <w:r w:rsidRPr="00AF09A1">
        <w:rPr>
          <w:rStyle w:val="IntenseEmphasis"/>
        </w:rPr>
        <w:t>In over 100 years of Scottish literary prizes, men were awarded almost twice as often as women.</w:t>
      </w:r>
    </w:p>
    <w:p w14:paraId="740AFE22" w14:textId="77777777" w:rsidR="001A6652" w:rsidRDefault="001A6652" w:rsidP="001A6652">
      <w:pPr>
        <w:spacing w:line="360" w:lineRule="auto"/>
        <w:ind w:firstLine="720"/>
        <w:contextualSpacing/>
        <w:jc w:val="both"/>
        <w:rPr>
          <w:rFonts w:cs="Arial"/>
        </w:rPr>
      </w:pPr>
      <w:r w:rsidRPr="00DB0375">
        <w:rPr>
          <w:rFonts w:cs="Arial"/>
        </w:rPr>
        <w:t xml:space="preserve">From </w:t>
      </w:r>
      <w:r>
        <w:rPr>
          <w:rFonts w:cs="Arial"/>
        </w:rPr>
        <w:t>1919</w:t>
      </w:r>
      <w:r w:rsidRPr="00DB0375">
        <w:rPr>
          <w:rFonts w:cs="Arial"/>
        </w:rPr>
        <w:t>-2024, the James Tait Black Awards (for Fiction, Biography and Drama), the Saltire Society Literary Awards (Scotland’s National Book Awards in seven categories), the Walter Scott Prize for Historical Fiction and the McIlvanney Prize for Scottish Crime Book of the Year were won 302 (65.9%) times by male writers, 153 (33.4%) times by female writers and 3 (0.7%) times by non-binary writers.</w:t>
      </w:r>
    </w:p>
    <w:p w14:paraId="64C44E5E" w14:textId="12DDA318" w:rsidR="00CD0DE6" w:rsidRDefault="001A6652" w:rsidP="001A6652">
      <w:pPr>
        <w:spacing w:line="360" w:lineRule="auto"/>
        <w:ind w:firstLine="720"/>
        <w:contextualSpacing/>
        <w:jc w:val="both"/>
        <w:rPr>
          <w:rFonts w:cs="Arial"/>
        </w:rPr>
      </w:pPr>
      <w:r w:rsidRPr="009A2A0F">
        <w:rPr>
          <w:rFonts w:cs="Arial"/>
        </w:rPr>
        <w:t>Of the 450 winners over this time period across these 12 prizes, only 21 (4.6%) winners were BPOC authors. In 92 shortlists examined</w:t>
      </w:r>
      <w:r>
        <w:rPr>
          <w:rFonts w:cs="Arial"/>
        </w:rPr>
        <w:t>,</w:t>
      </w:r>
      <w:bookmarkEnd w:id="27"/>
      <w:bookmarkEnd w:id="28"/>
      <w:r w:rsidR="00CD0DE6" w:rsidRPr="00715DA1">
        <w:rPr>
          <w:rStyle w:val="FootnoteReference"/>
        </w:rPr>
        <w:footnoteReference w:id="26"/>
      </w:r>
      <w:r w:rsidR="00CD0DE6" w:rsidRPr="009A2A0F">
        <w:rPr>
          <w:rFonts w:cs="Arial"/>
        </w:rPr>
        <w:t xml:space="preserve"> only 39 (7.8%) of 500 shortlisted authors were BPOC authors.</w:t>
      </w:r>
      <w:r w:rsidR="00CD0DE6">
        <w:rPr>
          <w:rFonts w:cs="Arial"/>
        </w:rPr>
        <w:t xml:space="preserve"> </w:t>
      </w:r>
      <w:r w:rsidR="00CD0DE6" w:rsidRPr="00DB0375">
        <w:rPr>
          <w:rFonts w:cs="Arial"/>
        </w:rPr>
        <w:t>A prize-per</w:t>
      </w:r>
      <w:r w:rsidR="00CD0DE6" w:rsidRPr="001E0710">
        <w:rPr>
          <w:rFonts w:cs="Arial"/>
        </w:rPr>
        <w:t xml:space="preserve">-prize breakdown of </w:t>
      </w:r>
      <w:r w:rsidR="00CD0DE6">
        <w:rPr>
          <w:rFonts w:cs="Arial"/>
        </w:rPr>
        <w:t>these figures</w:t>
      </w:r>
      <w:r w:rsidR="00CD0DE6" w:rsidRPr="001E0710">
        <w:rPr>
          <w:rFonts w:cs="Arial"/>
        </w:rPr>
        <w:t>, including the years each prize has been running</w:t>
      </w:r>
      <w:r w:rsidR="00CD0DE6">
        <w:rPr>
          <w:rFonts w:cs="Arial"/>
        </w:rPr>
        <w:t>, is in the Appendix</w:t>
      </w:r>
      <w:r w:rsidR="00CD0DE6" w:rsidRPr="001E0710">
        <w:rPr>
          <w:rFonts w:cs="Arial"/>
          <w:i/>
          <w:iCs/>
        </w:rPr>
        <w:t>.</w:t>
      </w:r>
    </w:p>
    <w:p w14:paraId="59FF5B44" w14:textId="77777777" w:rsidR="00CD0DE6" w:rsidRPr="001E0710" w:rsidRDefault="00CD0DE6" w:rsidP="001A6652">
      <w:pPr>
        <w:spacing w:line="360" w:lineRule="auto"/>
        <w:ind w:firstLine="720"/>
        <w:contextualSpacing/>
        <w:jc w:val="both"/>
        <w:rPr>
          <w:rFonts w:cs="Arial"/>
        </w:rPr>
      </w:pPr>
      <w:r w:rsidRPr="001E0710">
        <w:rPr>
          <w:rFonts w:cs="Arial"/>
        </w:rPr>
        <w:lastRenderedPageBreak/>
        <w:t xml:space="preserve">As Figure </w:t>
      </w:r>
      <w:r>
        <w:rPr>
          <w:rFonts w:cs="Arial"/>
        </w:rPr>
        <w:t>1</w:t>
      </w:r>
      <w:r w:rsidRPr="001E0710">
        <w:rPr>
          <w:rFonts w:cs="Arial"/>
        </w:rPr>
        <w:t xml:space="preserve"> shows, 10 out of 12 awards were awarded more frequently to men than to women over the course of their existence.</w:t>
      </w:r>
    </w:p>
    <w:p w14:paraId="345D27DB" w14:textId="77777777" w:rsidR="00CD0DE6" w:rsidRDefault="00CD0DE6" w:rsidP="001A6652">
      <w:pPr>
        <w:keepNext/>
        <w:spacing w:line="360" w:lineRule="auto"/>
        <w:contextualSpacing/>
      </w:pPr>
      <w:r>
        <w:rPr>
          <w:rFonts w:cs="Arial"/>
          <w:noProof/>
        </w:rPr>
        <w:drawing>
          <wp:inline distT="0" distB="0" distL="0" distR="0" wp14:anchorId="79097064" wp14:editId="2CB5E72D">
            <wp:extent cx="5486400" cy="3200400"/>
            <wp:effectExtent l="0" t="0" r="12700" b="12700"/>
            <wp:docPr id="1597528719" name="Chart 5" descr="This bar graph shows that 10 out of 12 awards were awarded more frequently to men than to women over the course of their existence. The only two prizes awarded more to women being prizes which were recently set up (2014 and 2015 respectively)."/>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4CEC277" w14:textId="77777777" w:rsidR="00CD0DE6" w:rsidRPr="001E0710" w:rsidRDefault="00CD0DE6" w:rsidP="001A6652">
      <w:pPr>
        <w:pStyle w:val="Caption"/>
        <w:rPr>
          <w:rFonts w:cs="Arial"/>
        </w:rPr>
      </w:pPr>
      <w:r>
        <w:t xml:space="preserve">Figure </w:t>
      </w:r>
      <w:r>
        <w:fldChar w:fldCharType="begin"/>
      </w:r>
      <w:r>
        <w:instrText>SEQ Figure \* ARABIC</w:instrText>
      </w:r>
      <w:r>
        <w:fldChar w:fldCharType="separate"/>
      </w:r>
      <w:r>
        <w:rPr>
          <w:noProof/>
        </w:rPr>
        <w:t>1</w:t>
      </w:r>
      <w:r>
        <w:fldChar w:fldCharType="end"/>
      </w:r>
      <w:r>
        <w:t xml:space="preserve"> Prize winners by gender, 1919-2024</w:t>
      </w:r>
    </w:p>
    <w:p w14:paraId="3B073B21" w14:textId="77777777" w:rsidR="00CD0DE6" w:rsidRDefault="00CD0DE6" w:rsidP="001A6652">
      <w:pPr>
        <w:spacing w:line="360" w:lineRule="auto"/>
        <w:contextualSpacing/>
        <w:jc w:val="both"/>
        <w:rPr>
          <w:rFonts w:cs="Arial"/>
        </w:rPr>
      </w:pPr>
      <w:r w:rsidRPr="001E0710">
        <w:rPr>
          <w:rFonts w:cs="Arial"/>
        </w:rPr>
        <w:t>In the decade 2000-2009, men won 6</w:t>
      </w:r>
      <w:r>
        <w:rPr>
          <w:rFonts w:cs="Arial"/>
        </w:rPr>
        <w:t>5.7</w:t>
      </w:r>
      <w:r w:rsidRPr="001E0710">
        <w:rPr>
          <w:rFonts w:cs="Arial"/>
        </w:rPr>
        <w:t>% of these prizes and women won 34</w:t>
      </w:r>
      <w:r>
        <w:rPr>
          <w:rFonts w:cs="Arial"/>
        </w:rPr>
        <w:t>.3</w:t>
      </w:r>
      <w:r w:rsidRPr="001E0710">
        <w:rPr>
          <w:rFonts w:cs="Arial"/>
        </w:rPr>
        <w:t xml:space="preserve">%; in 2010-2019, men won </w:t>
      </w:r>
      <w:r>
        <w:rPr>
          <w:rFonts w:cs="Arial"/>
        </w:rPr>
        <w:t>59.8</w:t>
      </w:r>
      <w:r w:rsidRPr="001E0710">
        <w:rPr>
          <w:rFonts w:cs="Arial"/>
        </w:rPr>
        <w:t>% of prizes and women won 40</w:t>
      </w:r>
      <w:r>
        <w:rPr>
          <w:rFonts w:cs="Arial"/>
        </w:rPr>
        <w:t>.2</w:t>
      </w:r>
      <w:r w:rsidRPr="001E0710">
        <w:rPr>
          <w:rFonts w:cs="Arial"/>
        </w:rPr>
        <w:t>%, showing a movement towards parity. However, it should be noted that the overall prize field also expanded, with 6 out of 12 of these prizes set up in 2010 or later.</w:t>
      </w:r>
    </w:p>
    <w:p w14:paraId="1F742A0C" w14:textId="77777777" w:rsidR="00CD0DE6" w:rsidRDefault="00CD0DE6" w:rsidP="001A6652">
      <w:pPr>
        <w:spacing w:line="360" w:lineRule="auto"/>
        <w:ind w:firstLine="720"/>
        <w:contextualSpacing/>
        <w:jc w:val="both"/>
        <w:rPr>
          <w:rFonts w:cs="Arial"/>
        </w:rPr>
      </w:pPr>
      <w:r w:rsidRPr="001E0710">
        <w:rPr>
          <w:rFonts w:cs="Arial"/>
        </w:rPr>
        <w:t xml:space="preserve">Overall, </w:t>
      </w:r>
      <w:r>
        <w:rPr>
          <w:rFonts w:cs="Arial"/>
        </w:rPr>
        <w:t>across 10 decades</w:t>
      </w:r>
      <w:r w:rsidRPr="001E0710">
        <w:rPr>
          <w:rFonts w:cs="Arial"/>
        </w:rPr>
        <w:t xml:space="preserve">, we can see </w:t>
      </w:r>
      <w:r>
        <w:rPr>
          <w:rFonts w:cs="Arial"/>
        </w:rPr>
        <w:t xml:space="preserve">in Figure 2 </w:t>
      </w:r>
      <w:r w:rsidRPr="001E0710">
        <w:rPr>
          <w:rFonts w:cs="Arial"/>
        </w:rPr>
        <w:t>that the proportion of women winners only once exceeds 50%.</w:t>
      </w:r>
    </w:p>
    <w:p w14:paraId="467DC5A8" w14:textId="77777777" w:rsidR="00CD0DE6" w:rsidRPr="001E0710" w:rsidRDefault="00CD0DE6" w:rsidP="001A6652">
      <w:pPr>
        <w:spacing w:line="360" w:lineRule="auto"/>
        <w:ind w:firstLine="720"/>
        <w:contextualSpacing/>
        <w:jc w:val="both"/>
        <w:rPr>
          <w:rFonts w:cs="Arial"/>
        </w:rPr>
      </w:pPr>
      <w:r>
        <w:rPr>
          <w:noProof/>
        </w:rPr>
        <w:drawing>
          <wp:inline distT="0" distB="0" distL="0" distR="0" wp14:anchorId="27EA1BE7" wp14:editId="63063A6F">
            <wp:extent cx="4594412" cy="2723777"/>
            <wp:effectExtent l="0" t="0" r="15875" b="6985"/>
            <wp:docPr id="571284557" name="Chart 1" descr="This bar chart shows proportions of winners by gender over the course of 10 decades, 1920s to 2010s, and the bars show that men make up the majority in each decade, frequently between 60-80%, except for the 1960s where women make up over 60% of winners.">
              <a:extLst xmlns:a="http://schemas.openxmlformats.org/drawingml/2006/main">
                <a:ext uri="{FF2B5EF4-FFF2-40B4-BE49-F238E27FC236}">
                  <a16:creationId xmlns:a16="http://schemas.microsoft.com/office/drawing/2014/main" id="{2A97FCA8-7A25-B7B3-F1E4-941607F3EF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21499D1" w14:textId="77777777" w:rsidR="00CD0DE6" w:rsidRPr="001E0710" w:rsidRDefault="00CD0DE6" w:rsidP="001A6652">
      <w:pPr>
        <w:pStyle w:val="Caption"/>
        <w:jc w:val="both"/>
        <w:rPr>
          <w:rFonts w:cs="Arial"/>
        </w:rPr>
      </w:pPr>
      <w:r>
        <w:t xml:space="preserve">Figure </w:t>
      </w:r>
      <w:r>
        <w:fldChar w:fldCharType="begin"/>
      </w:r>
      <w:r>
        <w:instrText>SEQ Figure \* ARABIC</w:instrText>
      </w:r>
      <w:r>
        <w:fldChar w:fldCharType="separate"/>
      </w:r>
      <w:r>
        <w:rPr>
          <w:noProof/>
        </w:rPr>
        <w:t>2</w:t>
      </w:r>
      <w:r>
        <w:fldChar w:fldCharType="end"/>
      </w:r>
      <w:r>
        <w:t xml:space="preserve"> Prize winners by gender, proportion by decade, 1920s-2010s</w:t>
      </w:r>
    </w:p>
    <w:p w14:paraId="4B5DD452" w14:textId="77777777" w:rsidR="00CD0DE6" w:rsidRPr="00F346C8" w:rsidRDefault="00CD0DE6" w:rsidP="001A6652">
      <w:pPr>
        <w:spacing w:line="360" w:lineRule="auto"/>
        <w:contextualSpacing/>
        <w:jc w:val="both"/>
        <w:rPr>
          <w:rFonts w:cs="Arial"/>
        </w:rPr>
      </w:pPr>
      <w:r>
        <w:rPr>
          <w:rFonts w:cs="Arial"/>
        </w:rPr>
        <w:lastRenderedPageBreak/>
        <w:t>Figure 3</w:t>
      </w:r>
      <w:r w:rsidRPr="001E0710">
        <w:rPr>
          <w:rFonts w:cs="Arial"/>
        </w:rPr>
        <w:t xml:space="preserve"> </w:t>
      </w:r>
      <w:r>
        <w:rPr>
          <w:rFonts w:cs="Arial"/>
        </w:rPr>
        <w:t>shows actual numbers of prize winners by gender and decade. This shows that the increase of prizes in the 1980s and 2010s does not result in a big change to the proportions of winners. Figure 2 shows what looks like a huge change for women’s fortunes in the 1960s, and Figure 3 illustrates that this difference is due to 14 female winners compared to 8 male. It would be interesting for further research to examine this temporary reversal of proportions of winners. A table listing winners by decade is in the Appendix.</w:t>
      </w:r>
    </w:p>
    <w:p w14:paraId="69A72F1E" w14:textId="77777777" w:rsidR="00CD0DE6" w:rsidRDefault="00CD0DE6" w:rsidP="001A6652">
      <w:pPr>
        <w:keepNext/>
        <w:spacing w:line="360" w:lineRule="auto"/>
        <w:contextualSpacing/>
      </w:pPr>
      <w:r>
        <w:rPr>
          <w:noProof/>
        </w:rPr>
        <w:drawing>
          <wp:inline distT="0" distB="0" distL="0" distR="0" wp14:anchorId="5504BDDC" wp14:editId="232D47FB">
            <wp:extent cx="4590677" cy="2751917"/>
            <wp:effectExtent l="0" t="0" r="6985" b="17145"/>
            <wp:docPr id="1977634420" name="Chart 1" descr="This line graph shows actual numbers corresponding to winners by gender per decade, and the lines have an upward trajectory following the 1980s and 2010s when many new prizes were set up. A crossing-over of lines can be observed in the 1960s when 14 women won prizes versus 8 men.">
              <a:extLst xmlns:a="http://schemas.openxmlformats.org/drawingml/2006/main">
                <a:ext uri="{FF2B5EF4-FFF2-40B4-BE49-F238E27FC236}">
                  <a16:creationId xmlns:a16="http://schemas.microsoft.com/office/drawing/2014/main" id="{5639ADD6-7AB3-7F66-FC5E-B3EDF15BFBD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DC7903A" w14:textId="77777777" w:rsidR="00CD0DE6" w:rsidRPr="001E0710" w:rsidRDefault="00CD0DE6" w:rsidP="001A6652">
      <w:pPr>
        <w:pStyle w:val="Caption"/>
        <w:rPr>
          <w:rFonts w:cs="Arial"/>
        </w:rPr>
      </w:pPr>
      <w:r>
        <w:t xml:space="preserve">Figure </w:t>
      </w:r>
      <w:r>
        <w:fldChar w:fldCharType="begin"/>
      </w:r>
      <w:r>
        <w:instrText>SEQ Figure \* ARABIC</w:instrText>
      </w:r>
      <w:r>
        <w:fldChar w:fldCharType="separate"/>
      </w:r>
      <w:r>
        <w:rPr>
          <w:noProof/>
        </w:rPr>
        <w:t>3</w:t>
      </w:r>
      <w:r>
        <w:fldChar w:fldCharType="end"/>
      </w:r>
      <w:r>
        <w:t xml:space="preserve"> Prize winners by gender by decade, 1920s-2010s</w:t>
      </w:r>
    </w:p>
    <w:p w14:paraId="7BF4E459" w14:textId="77777777" w:rsidR="00CD0DE6" w:rsidRPr="001E0710" w:rsidRDefault="00CD0DE6" w:rsidP="001A6652">
      <w:pPr>
        <w:pStyle w:val="Heading2"/>
        <w:rPr>
          <w:rFonts w:cs="Arial"/>
        </w:rPr>
      </w:pPr>
      <w:bookmarkStart w:id="29" w:name="_Toc195538151"/>
      <w:r w:rsidRPr="001E0710">
        <w:rPr>
          <w:rFonts w:cs="Arial"/>
        </w:rPr>
        <w:t>Publishing</w:t>
      </w:r>
      <w:bookmarkEnd w:id="29"/>
    </w:p>
    <w:p w14:paraId="7CE91E05" w14:textId="77777777" w:rsidR="00CD0DE6" w:rsidRDefault="00CD0DE6" w:rsidP="001A6652">
      <w:pPr>
        <w:spacing w:line="360" w:lineRule="auto"/>
        <w:jc w:val="both"/>
        <w:rPr>
          <w:rFonts w:cs="Arial"/>
        </w:rPr>
      </w:pPr>
      <w:r w:rsidRPr="001E0710">
        <w:rPr>
          <w:rFonts w:cs="Arial"/>
        </w:rPr>
        <w:t xml:space="preserve">Using Nielsen BookScan data, I </w:t>
      </w:r>
      <w:r w:rsidRPr="001E0710">
        <w:rPr>
          <w:rFonts w:cs="Arial"/>
          <w:szCs w:val="24"/>
        </w:rPr>
        <w:t>analysed trade non-fiction (</w:t>
      </w:r>
      <w:r w:rsidRPr="001E0710">
        <w:rPr>
          <w:rFonts w:cs="Arial"/>
          <w:color w:val="000000"/>
          <w:szCs w:val="24"/>
        </w:rPr>
        <w:t xml:space="preserve">962 authors or </w:t>
      </w:r>
      <w:r w:rsidRPr="001E0710">
        <w:rPr>
          <w:rFonts w:cs="Arial"/>
          <w:szCs w:val="24"/>
        </w:rPr>
        <w:t>4</w:t>
      </w:r>
      <w:r>
        <w:rPr>
          <w:rFonts w:cs="Arial"/>
          <w:szCs w:val="24"/>
        </w:rPr>
        <w:t>6.2</w:t>
      </w:r>
      <w:r w:rsidRPr="001E0710">
        <w:rPr>
          <w:rFonts w:cs="Arial"/>
          <w:szCs w:val="24"/>
        </w:rPr>
        <w:t>%), fiction (574 authors or 2</w:t>
      </w:r>
      <w:r>
        <w:rPr>
          <w:rFonts w:cs="Arial"/>
          <w:szCs w:val="24"/>
        </w:rPr>
        <w:t>7.5</w:t>
      </w:r>
      <w:r w:rsidRPr="001E0710">
        <w:rPr>
          <w:rFonts w:cs="Arial"/>
          <w:szCs w:val="24"/>
        </w:rPr>
        <w:t>%), children’s and young adult writing (467 authors or 22</w:t>
      </w:r>
      <w:r>
        <w:rPr>
          <w:rFonts w:cs="Arial"/>
          <w:szCs w:val="24"/>
        </w:rPr>
        <w:t>.4</w:t>
      </w:r>
      <w:r w:rsidRPr="001E0710">
        <w:rPr>
          <w:rFonts w:cs="Arial"/>
          <w:szCs w:val="24"/>
        </w:rPr>
        <w:t xml:space="preserve">%), and poetry (81 authors or </w:t>
      </w:r>
      <w:r>
        <w:rPr>
          <w:rFonts w:cs="Arial"/>
          <w:szCs w:val="24"/>
        </w:rPr>
        <w:t>3.9</w:t>
      </w:r>
      <w:r w:rsidRPr="001E0710">
        <w:rPr>
          <w:rFonts w:cs="Arial"/>
          <w:szCs w:val="24"/>
        </w:rPr>
        <w:t>%) from Scotland-based publishers in the years 2017-2019.</w:t>
      </w:r>
      <w:r w:rsidRPr="00715DA1">
        <w:rPr>
          <w:rStyle w:val="FootnoteReference"/>
        </w:rPr>
        <w:footnoteReference w:id="27"/>
      </w:r>
      <w:r w:rsidRPr="001E0710">
        <w:rPr>
          <w:rFonts w:cs="Arial"/>
          <w:szCs w:val="24"/>
        </w:rPr>
        <w:t xml:space="preserve"> For a list of publishers included</w:t>
      </w:r>
      <w:r w:rsidRPr="001E0710">
        <w:rPr>
          <w:rFonts w:cs="Arial"/>
        </w:rPr>
        <w:t xml:space="preserve"> in this study, see the Appendix</w:t>
      </w:r>
      <w:r>
        <w:rPr>
          <w:rFonts w:cs="Arial"/>
        </w:rPr>
        <w:t>.</w:t>
      </w:r>
    </w:p>
    <w:p w14:paraId="1631910B" w14:textId="77777777" w:rsidR="00CD0DE6" w:rsidRPr="00F173B5" w:rsidRDefault="00CD0DE6" w:rsidP="001A6652">
      <w:pPr>
        <w:spacing w:line="360" w:lineRule="auto"/>
        <w:ind w:firstLine="720"/>
        <w:jc w:val="both"/>
        <w:rPr>
          <w:rFonts w:cs="Arial"/>
          <w:szCs w:val="24"/>
        </w:rPr>
      </w:pPr>
      <w:r w:rsidRPr="00BC3D9C">
        <w:rPr>
          <w:rStyle w:val="IntenseEmphasis"/>
        </w:rPr>
        <w:t xml:space="preserve">Publishers published male authors </w:t>
      </w:r>
      <w:r>
        <w:rPr>
          <w:rStyle w:val="IntenseEmphasis"/>
        </w:rPr>
        <w:t>50%</w:t>
      </w:r>
      <w:r w:rsidRPr="00BC3D9C">
        <w:rPr>
          <w:rStyle w:val="IntenseEmphasis"/>
        </w:rPr>
        <w:t xml:space="preserve"> more than female authors.</w:t>
      </w:r>
      <w:r w:rsidRPr="001E0710">
        <w:rPr>
          <w:rFonts w:cs="Arial"/>
        </w:rPr>
        <w:t xml:space="preserve"> 1,237 books (61.3%) male authors</w:t>
      </w:r>
      <w:r>
        <w:rPr>
          <w:rFonts w:cs="Arial"/>
        </w:rPr>
        <w:t xml:space="preserve"> were published</w:t>
      </w:r>
      <w:r w:rsidRPr="001E0710">
        <w:rPr>
          <w:rFonts w:cs="Arial"/>
        </w:rPr>
        <w:t>, 778 (38.6%) female authors, and 2 (0.1%) non-binary authors.</w:t>
      </w:r>
      <w:r>
        <w:rPr>
          <w:rFonts w:cs="Arial"/>
        </w:rPr>
        <w:t xml:space="preserve"> No gender data was available for 67 authors.</w:t>
      </w:r>
    </w:p>
    <w:p w14:paraId="069603C7" w14:textId="77777777" w:rsidR="00CD0DE6" w:rsidRPr="001E0710" w:rsidRDefault="00CD0DE6" w:rsidP="001A6652">
      <w:pPr>
        <w:keepNext/>
        <w:spacing w:line="360" w:lineRule="auto"/>
        <w:rPr>
          <w:rFonts w:cs="Arial"/>
        </w:rPr>
      </w:pPr>
      <w:r w:rsidRPr="001E0710">
        <w:rPr>
          <w:rFonts w:cs="Arial"/>
          <w:noProof/>
        </w:rPr>
        <w:lastRenderedPageBreak/>
        <w:drawing>
          <wp:inline distT="0" distB="0" distL="0" distR="0" wp14:anchorId="0CCB48DC" wp14:editId="1965D039">
            <wp:extent cx="5486400" cy="3200400"/>
            <wp:effectExtent l="0" t="0" r="0" b="0"/>
            <wp:docPr id="2" name="Chart 2" descr="This bar chart shows that trade non-fiction is the area where there is the largest disparity, with men being published 640 times versus 280 times for women and 0 for non-binary authors. The results of the bar chart are noted below Figure 4 in the text."/>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41BA649" w14:textId="77777777" w:rsidR="00CD0DE6" w:rsidRPr="00F173B5" w:rsidRDefault="00CD0DE6" w:rsidP="001A6652">
      <w:pPr>
        <w:pStyle w:val="Caption"/>
        <w:rPr>
          <w:rFonts w:cs="Arial"/>
          <w:sz w:val="24"/>
          <w:szCs w:val="24"/>
        </w:rPr>
      </w:pPr>
      <w:r w:rsidRPr="001E0710">
        <w:rPr>
          <w:rFonts w:cs="Arial"/>
          <w:sz w:val="24"/>
          <w:szCs w:val="24"/>
        </w:rPr>
        <w:t xml:space="preserve">Figure </w:t>
      </w:r>
      <w:r w:rsidRPr="001E0710">
        <w:rPr>
          <w:rFonts w:cs="Arial"/>
          <w:sz w:val="24"/>
          <w:szCs w:val="24"/>
        </w:rPr>
        <w:fldChar w:fldCharType="begin"/>
      </w:r>
      <w:r w:rsidRPr="001E0710">
        <w:rPr>
          <w:rFonts w:cs="Arial"/>
          <w:sz w:val="24"/>
          <w:szCs w:val="24"/>
        </w:rPr>
        <w:instrText>SEQ Figure \* ARABIC</w:instrText>
      </w:r>
      <w:r w:rsidRPr="001E0710">
        <w:rPr>
          <w:rFonts w:cs="Arial"/>
          <w:sz w:val="24"/>
          <w:szCs w:val="24"/>
        </w:rPr>
        <w:fldChar w:fldCharType="separate"/>
      </w:r>
      <w:r>
        <w:rPr>
          <w:rFonts w:cs="Arial"/>
          <w:noProof/>
          <w:sz w:val="24"/>
          <w:szCs w:val="24"/>
        </w:rPr>
        <w:t>4</w:t>
      </w:r>
      <w:r w:rsidRPr="001E0710">
        <w:rPr>
          <w:rFonts w:cs="Arial"/>
          <w:sz w:val="24"/>
          <w:szCs w:val="24"/>
        </w:rPr>
        <w:fldChar w:fldCharType="end"/>
      </w:r>
      <w:r w:rsidRPr="001E0710">
        <w:rPr>
          <w:rFonts w:cs="Arial"/>
          <w:sz w:val="24"/>
          <w:szCs w:val="24"/>
        </w:rPr>
        <w:t xml:space="preserve"> Gender of authors by </w:t>
      </w:r>
      <w:r>
        <w:rPr>
          <w:rFonts w:cs="Arial"/>
          <w:sz w:val="24"/>
          <w:szCs w:val="24"/>
        </w:rPr>
        <w:t>category</w:t>
      </w:r>
      <w:r w:rsidRPr="001E0710">
        <w:rPr>
          <w:rFonts w:cs="Arial"/>
          <w:sz w:val="24"/>
          <w:szCs w:val="24"/>
        </w:rPr>
        <w:t>, 2017-2019</w:t>
      </w:r>
    </w:p>
    <w:p w14:paraId="73C712D0" w14:textId="77777777" w:rsidR="00CD0DE6" w:rsidRDefault="00CD0DE6" w:rsidP="001A6652">
      <w:pPr>
        <w:spacing w:line="360" w:lineRule="auto"/>
        <w:rPr>
          <w:rFonts w:cs="Arial"/>
        </w:rPr>
      </w:pPr>
      <w:r>
        <w:rPr>
          <w:rFonts w:cs="Arial"/>
        </w:rPr>
        <w:t xml:space="preserve">As illustrated in Figure 4, </w:t>
      </w:r>
      <w:r w:rsidRPr="001E0710">
        <w:rPr>
          <w:rFonts w:cs="Arial"/>
        </w:rPr>
        <w:t>Trade non-fiction sees the largest gender imbalance, with 640 (69.6%) male authors, 280 (30.4%) female authors and no non-binary authors: male authors writing trade non-fiction were published more than twice as much as female authors.</w:t>
      </w:r>
    </w:p>
    <w:p w14:paraId="37299CAA" w14:textId="77777777" w:rsidR="00CD0DE6" w:rsidRDefault="00CD0DE6" w:rsidP="001A6652">
      <w:pPr>
        <w:spacing w:line="360" w:lineRule="auto"/>
        <w:ind w:firstLine="709"/>
        <w:jc w:val="both"/>
        <w:rPr>
          <w:rFonts w:cs="Arial"/>
        </w:rPr>
      </w:pPr>
      <w:r w:rsidRPr="001E0710">
        <w:rPr>
          <w:rFonts w:cs="Arial"/>
        </w:rPr>
        <w:t>Fiction publishing also saw a majority of male authors published, with 345 (60.8%) male authors, 222 (39.2%) female authors and no non-binary authors.</w:t>
      </w:r>
    </w:p>
    <w:p w14:paraId="526BFD33" w14:textId="77777777" w:rsidR="00CD0DE6" w:rsidRDefault="00CD0DE6" w:rsidP="001A6652">
      <w:pPr>
        <w:spacing w:line="360" w:lineRule="auto"/>
        <w:ind w:firstLine="709"/>
        <w:jc w:val="both"/>
        <w:rPr>
          <w:rFonts w:cs="Arial"/>
        </w:rPr>
      </w:pPr>
      <w:r w:rsidRPr="001E0710">
        <w:rPr>
          <w:rFonts w:cs="Arial"/>
        </w:rPr>
        <w:t>Children’s and young adult writing saw a majority of female writers, at 200 (44.5%) male authors, 248 (55.2%) female authors, and one non-binary author.</w:t>
      </w:r>
    </w:p>
    <w:p w14:paraId="13DD6665" w14:textId="77777777" w:rsidR="00CD0DE6" w:rsidRPr="001E0710" w:rsidRDefault="00CD0DE6" w:rsidP="001A6652">
      <w:pPr>
        <w:spacing w:line="360" w:lineRule="auto"/>
        <w:ind w:firstLine="709"/>
        <w:jc w:val="both"/>
        <w:rPr>
          <w:rFonts w:cs="Arial"/>
        </w:rPr>
      </w:pPr>
      <w:r w:rsidRPr="001E0710">
        <w:rPr>
          <w:rFonts w:cs="Arial"/>
        </w:rPr>
        <w:t>Poetry publishing saw a majority of male authors, at 52 (64.2%) male authors, 28 (34.6%) female authors and 1 (1.2%) non-binary author</w:t>
      </w:r>
      <w:r>
        <w:rPr>
          <w:rFonts w:cs="Arial"/>
        </w:rPr>
        <w:t>.</w:t>
      </w:r>
    </w:p>
    <w:p w14:paraId="2FADF481" w14:textId="77777777" w:rsidR="00CD0DE6" w:rsidRPr="001E0710" w:rsidRDefault="00CD0DE6" w:rsidP="001A6652">
      <w:pPr>
        <w:pStyle w:val="Heading2"/>
        <w:rPr>
          <w:rFonts w:cs="Arial"/>
        </w:rPr>
      </w:pPr>
      <w:bookmarkStart w:id="30" w:name="_Toc180580125"/>
      <w:bookmarkStart w:id="31" w:name="_Toc195538152"/>
      <w:r w:rsidRPr="001E0710">
        <w:rPr>
          <w:rFonts w:cs="Arial"/>
        </w:rPr>
        <w:t>Reviewing</w:t>
      </w:r>
      <w:bookmarkEnd w:id="30"/>
      <w:bookmarkEnd w:id="31"/>
    </w:p>
    <w:p w14:paraId="3F89BB1A" w14:textId="77777777" w:rsidR="00CD0DE6" w:rsidRDefault="00CD0DE6" w:rsidP="001A6652">
      <w:pPr>
        <w:spacing w:line="360" w:lineRule="auto"/>
        <w:jc w:val="both"/>
        <w:rPr>
          <w:rFonts w:cs="Arial"/>
        </w:rPr>
      </w:pPr>
      <w:r w:rsidRPr="001E0710">
        <w:rPr>
          <w:rFonts w:cs="Arial"/>
        </w:rPr>
        <w:t xml:space="preserve">I analysed reviewing in Scotland’s longest-running national daily newspapers, </w:t>
      </w:r>
      <w:r w:rsidRPr="001E0710">
        <w:rPr>
          <w:rFonts w:cs="Arial"/>
          <w:i/>
          <w:iCs/>
        </w:rPr>
        <w:t>The Scotsman</w:t>
      </w:r>
      <w:r w:rsidRPr="001E0710">
        <w:rPr>
          <w:rFonts w:cs="Arial"/>
        </w:rPr>
        <w:t xml:space="preserve"> and </w:t>
      </w:r>
      <w:r w:rsidRPr="001E0710">
        <w:rPr>
          <w:rFonts w:cs="Arial"/>
          <w:i/>
          <w:iCs/>
        </w:rPr>
        <w:t>The Herald</w:t>
      </w:r>
      <w:r w:rsidRPr="001E0710">
        <w:rPr>
          <w:rFonts w:cs="Arial"/>
        </w:rPr>
        <w:t>.</w:t>
      </w:r>
      <w:r w:rsidRPr="00715DA1">
        <w:rPr>
          <w:rStyle w:val="FootnoteReference"/>
        </w:rPr>
        <w:footnoteReference w:id="28"/>
      </w:r>
      <w:r w:rsidRPr="001E0710">
        <w:rPr>
          <w:rFonts w:cs="Arial"/>
        </w:rPr>
        <w:t xml:space="preserve"> </w:t>
      </w:r>
      <w:r w:rsidRPr="00726409">
        <w:rPr>
          <w:rStyle w:val="IntenseEmphasis"/>
        </w:rPr>
        <w:t>In the years 2017-2019, the large</w:t>
      </w:r>
      <w:r w:rsidRPr="00BC3D9C">
        <w:rPr>
          <w:rStyle w:val="IntenseEmphasis"/>
        </w:rPr>
        <w:t xml:space="preserve"> majority of authors reviewed in these newspapers</w:t>
      </w:r>
      <w:r>
        <w:rPr>
          <w:rStyle w:val="IntenseEmphasis"/>
        </w:rPr>
        <w:t xml:space="preserve"> </w:t>
      </w:r>
      <w:r w:rsidRPr="00BC3D9C">
        <w:rPr>
          <w:rStyle w:val="IntenseEmphasis"/>
        </w:rPr>
        <w:t>were men</w:t>
      </w:r>
      <w:r w:rsidRPr="001E0710">
        <w:rPr>
          <w:rFonts w:cs="Arial"/>
        </w:rPr>
        <w:t xml:space="preserve">: </w:t>
      </w:r>
      <w:r>
        <w:rPr>
          <w:rFonts w:cs="Arial"/>
        </w:rPr>
        <w:t>1,038 (</w:t>
      </w:r>
      <w:r w:rsidRPr="001E0710">
        <w:rPr>
          <w:rFonts w:cs="Arial"/>
        </w:rPr>
        <w:t>62.6%</w:t>
      </w:r>
      <w:r>
        <w:rPr>
          <w:rFonts w:cs="Arial"/>
        </w:rPr>
        <w:t>)</w:t>
      </w:r>
      <w:r w:rsidRPr="001E0710">
        <w:rPr>
          <w:rFonts w:cs="Arial"/>
        </w:rPr>
        <w:t xml:space="preserve"> of authors were male, </w:t>
      </w:r>
      <w:r>
        <w:rPr>
          <w:rFonts w:cs="Arial"/>
        </w:rPr>
        <w:t>615 (</w:t>
      </w:r>
      <w:r w:rsidRPr="001E0710">
        <w:rPr>
          <w:rFonts w:cs="Arial"/>
        </w:rPr>
        <w:t>37.1%</w:t>
      </w:r>
      <w:r>
        <w:rPr>
          <w:rFonts w:cs="Arial"/>
        </w:rPr>
        <w:t>)</w:t>
      </w:r>
      <w:r w:rsidRPr="001E0710">
        <w:rPr>
          <w:rFonts w:cs="Arial"/>
        </w:rPr>
        <w:t xml:space="preserve"> female and </w:t>
      </w:r>
      <w:r>
        <w:rPr>
          <w:rFonts w:cs="Arial"/>
        </w:rPr>
        <w:t>4 (</w:t>
      </w:r>
      <w:r w:rsidRPr="001E0710">
        <w:rPr>
          <w:rFonts w:cs="Arial"/>
        </w:rPr>
        <w:t>0.2%</w:t>
      </w:r>
      <w:r>
        <w:rPr>
          <w:rFonts w:cs="Arial"/>
        </w:rPr>
        <w:t>)</w:t>
      </w:r>
      <w:r w:rsidRPr="001E0710">
        <w:rPr>
          <w:rFonts w:cs="Arial"/>
        </w:rPr>
        <w:t xml:space="preserve"> non-binary.</w:t>
      </w:r>
      <w:r>
        <w:rPr>
          <w:rFonts w:cs="Arial"/>
        </w:rPr>
        <w:t xml:space="preserve"> No gender data was available for 6 authors.</w:t>
      </w:r>
    </w:p>
    <w:p w14:paraId="21DB9DCD" w14:textId="77777777" w:rsidR="00CD0DE6" w:rsidRPr="001E0710" w:rsidRDefault="00CD0DE6" w:rsidP="001A6652">
      <w:pPr>
        <w:spacing w:line="360" w:lineRule="auto"/>
        <w:ind w:firstLine="720"/>
        <w:jc w:val="both"/>
        <w:rPr>
          <w:rFonts w:cs="Arial"/>
        </w:rPr>
      </w:pPr>
      <w:r>
        <w:rPr>
          <w:rFonts w:cs="Arial"/>
        </w:rPr>
        <w:lastRenderedPageBreak/>
        <w:t>Disparity</w:t>
      </w:r>
      <w:r w:rsidRPr="001E0710">
        <w:rPr>
          <w:rFonts w:cs="Arial"/>
        </w:rPr>
        <w:t xml:space="preserve"> was even more stark when it comes to who reviewed these authors: </w:t>
      </w:r>
      <w:r>
        <w:rPr>
          <w:rFonts w:cs="Arial"/>
        </w:rPr>
        <w:t>1,265 (</w:t>
      </w:r>
      <w:r w:rsidRPr="001E0710">
        <w:rPr>
          <w:rFonts w:cs="Arial"/>
        </w:rPr>
        <w:t>82</w:t>
      </w:r>
      <w:r>
        <w:rPr>
          <w:rFonts w:cs="Arial"/>
        </w:rPr>
        <w:t>.0</w:t>
      </w:r>
      <w:r w:rsidRPr="001E0710">
        <w:rPr>
          <w:rFonts w:cs="Arial"/>
        </w:rPr>
        <w:t>%</w:t>
      </w:r>
      <w:r>
        <w:rPr>
          <w:rFonts w:cs="Arial"/>
        </w:rPr>
        <w:t>)</w:t>
      </w:r>
      <w:r w:rsidRPr="001E0710">
        <w:rPr>
          <w:rFonts w:cs="Arial"/>
        </w:rPr>
        <w:t xml:space="preserve"> of reviews were written by male critics, </w:t>
      </w:r>
      <w:r>
        <w:rPr>
          <w:rFonts w:cs="Arial"/>
        </w:rPr>
        <w:t>278 (</w:t>
      </w:r>
      <w:r w:rsidRPr="001E0710">
        <w:rPr>
          <w:rFonts w:cs="Arial"/>
        </w:rPr>
        <w:t>18</w:t>
      </w:r>
      <w:r>
        <w:rPr>
          <w:rFonts w:cs="Arial"/>
        </w:rPr>
        <w:t>.0</w:t>
      </w:r>
      <w:r w:rsidRPr="001E0710">
        <w:rPr>
          <w:rFonts w:cs="Arial"/>
        </w:rPr>
        <w:t>%</w:t>
      </w:r>
      <w:r>
        <w:rPr>
          <w:rFonts w:cs="Arial"/>
        </w:rPr>
        <w:t>)</w:t>
      </w:r>
      <w:r w:rsidRPr="001E0710">
        <w:rPr>
          <w:rFonts w:cs="Arial"/>
        </w:rPr>
        <w:t xml:space="preserve"> of reviews were written by female critics, and no reviews </w:t>
      </w:r>
      <w:r>
        <w:rPr>
          <w:rFonts w:cs="Arial"/>
        </w:rPr>
        <w:t xml:space="preserve">were written </w:t>
      </w:r>
      <w:r w:rsidRPr="001E0710">
        <w:rPr>
          <w:rFonts w:cs="Arial"/>
        </w:rPr>
        <w:t xml:space="preserve">by </w:t>
      </w:r>
      <w:r>
        <w:rPr>
          <w:rFonts w:cs="Arial"/>
        </w:rPr>
        <w:t>openly non-binary critics</w:t>
      </w:r>
      <w:r w:rsidRPr="001E0710">
        <w:rPr>
          <w:rFonts w:cs="Arial"/>
        </w:rPr>
        <w:t>.</w:t>
      </w:r>
      <w:r>
        <w:rPr>
          <w:rFonts w:cs="Arial"/>
        </w:rPr>
        <w:t xml:space="preserve"> No gender data was available for 83 critics. Both sets of figures are illustrated in Figure 5.</w:t>
      </w:r>
    </w:p>
    <w:p w14:paraId="014194A6" w14:textId="77777777" w:rsidR="00CD0DE6" w:rsidRDefault="00CD0DE6" w:rsidP="001A6652">
      <w:pPr>
        <w:keepNext/>
        <w:spacing w:line="360" w:lineRule="auto"/>
      </w:pPr>
      <w:r w:rsidRPr="001E0710">
        <w:rPr>
          <w:rFonts w:cs="Arial"/>
          <w:noProof/>
        </w:rPr>
        <w:drawing>
          <wp:inline distT="0" distB="0" distL="0" distR="0" wp14:anchorId="17E4983B" wp14:editId="2177D408">
            <wp:extent cx="5181600" cy="4351020"/>
            <wp:effectExtent l="0" t="0" r="12700" b="17780"/>
            <wp:docPr id="3" name="Chart 3" descr="This bar chart  illustrates that men make up the majority of literary critics and authors of books reviewed in The Scotsman and The Herald 2017-2019, showing the same figures as noted in the text before Figur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BF0493E" w14:textId="77777777" w:rsidR="00CD0DE6" w:rsidRPr="001E0710" w:rsidRDefault="00CD0DE6" w:rsidP="001A6652">
      <w:pPr>
        <w:pStyle w:val="Caption"/>
        <w:rPr>
          <w:rFonts w:cs="Arial"/>
        </w:rPr>
      </w:pPr>
      <w:r>
        <w:t xml:space="preserve">Figure </w:t>
      </w:r>
      <w:r>
        <w:fldChar w:fldCharType="begin"/>
      </w:r>
      <w:r>
        <w:instrText>SEQ Figure \* ARABIC</w:instrText>
      </w:r>
      <w:r>
        <w:fldChar w:fldCharType="separate"/>
      </w:r>
      <w:r>
        <w:rPr>
          <w:noProof/>
        </w:rPr>
        <w:t>5</w:t>
      </w:r>
      <w:r>
        <w:fldChar w:fldCharType="end"/>
      </w:r>
      <w:r>
        <w:t xml:space="preserve"> Total authors reviewed and reviewers 2017-2019, in The Scotsman and The Herald</w:t>
      </w:r>
    </w:p>
    <w:p w14:paraId="5C36BE6B" w14:textId="77777777" w:rsidR="00CD0DE6" w:rsidRPr="001E0710" w:rsidRDefault="00CD0DE6" w:rsidP="001A6652">
      <w:pPr>
        <w:spacing w:line="360" w:lineRule="auto"/>
        <w:jc w:val="both"/>
        <w:rPr>
          <w:rFonts w:cs="Arial"/>
        </w:rPr>
      </w:pPr>
      <w:r w:rsidRPr="001E0710">
        <w:rPr>
          <w:rFonts w:cs="Arial"/>
        </w:rPr>
        <w:t>On average, there were 37 individual male reviewers per year, and 16 female reviewers. Male reviewers each also wrote more reviews, with on average 12 reviews</w:t>
      </w:r>
      <w:r>
        <w:rPr>
          <w:rFonts w:cs="Arial"/>
        </w:rPr>
        <w:t xml:space="preserve"> </w:t>
      </w:r>
      <w:r w:rsidRPr="001E0710">
        <w:rPr>
          <w:rFonts w:cs="Arial"/>
        </w:rPr>
        <w:t>per</w:t>
      </w:r>
      <w:r>
        <w:rPr>
          <w:rFonts w:cs="Arial"/>
        </w:rPr>
        <w:t xml:space="preserve"> </w:t>
      </w:r>
      <w:r w:rsidRPr="001E0710">
        <w:rPr>
          <w:rFonts w:cs="Arial"/>
        </w:rPr>
        <w:t>male</w:t>
      </w:r>
      <w:r>
        <w:rPr>
          <w:rFonts w:cs="Arial"/>
        </w:rPr>
        <w:t xml:space="preserve"> </w:t>
      </w:r>
      <w:r w:rsidRPr="001E0710">
        <w:rPr>
          <w:rFonts w:cs="Arial"/>
        </w:rPr>
        <w:t>reviewer and 5 reviews</w:t>
      </w:r>
      <w:r>
        <w:rPr>
          <w:rFonts w:cs="Arial"/>
        </w:rPr>
        <w:t xml:space="preserve"> </w:t>
      </w:r>
      <w:r w:rsidRPr="001E0710">
        <w:rPr>
          <w:rFonts w:cs="Arial"/>
        </w:rPr>
        <w:t>per</w:t>
      </w:r>
      <w:r>
        <w:rPr>
          <w:rFonts w:cs="Arial"/>
        </w:rPr>
        <w:t xml:space="preserve"> </w:t>
      </w:r>
      <w:r w:rsidRPr="001E0710">
        <w:rPr>
          <w:rFonts w:cs="Arial"/>
        </w:rPr>
        <w:t>female</w:t>
      </w:r>
      <w:r>
        <w:rPr>
          <w:rFonts w:cs="Arial"/>
        </w:rPr>
        <w:t xml:space="preserve"> </w:t>
      </w:r>
      <w:r w:rsidRPr="001E0710">
        <w:rPr>
          <w:rFonts w:cs="Arial"/>
        </w:rPr>
        <w:t>reviewer. That is, more than twice as many men than women wrote reviews, and those men saw more than twice as many of their reviews published, leading to over four times as many reviews written by men.</w:t>
      </w:r>
    </w:p>
    <w:p w14:paraId="3B33ED95" w14:textId="77777777" w:rsidR="00CD0DE6" w:rsidRPr="001E0710" w:rsidRDefault="00CD0DE6" w:rsidP="001A6652">
      <w:pPr>
        <w:spacing w:line="360" w:lineRule="auto"/>
        <w:ind w:firstLine="720"/>
        <w:jc w:val="both"/>
        <w:rPr>
          <w:rFonts w:cs="Arial"/>
        </w:rPr>
      </w:pPr>
      <w:r w:rsidRPr="001E0710">
        <w:rPr>
          <w:rFonts w:cs="Arial"/>
        </w:rPr>
        <w:t xml:space="preserve">Not only were there more male reviewers, and not only were those men writing more reviews, but </w:t>
      </w:r>
      <w:r w:rsidRPr="00BC3D9C">
        <w:rPr>
          <w:rStyle w:val="IntenseEmphasis"/>
        </w:rPr>
        <w:t>across the two papers the majority of reviews were written by a very small group of writers who were all men</w:t>
      </w:r>
      <w:r w:rsidRPr="001E0710">
        <w:rPr>
          <w:rFonts w:cs="Arial"/>
        </w:rPr>
        <w:t xml:space="preserve">. In </w:t>
      </w:r>
      <w:r w:rsidRPr="001E0710">
        <w:rPr>
          <w:rFonts w:cs="Arial"/>
          <w:i/>
          <w:iCs/>
        </w:rPr>
        <w:t>The Herald</w:t>
      </w:r>
      <w:r w:rsidRPr="001E0710">
        <w:rPr>
          <w:rFonts w:cs="Arial"/>
        </w:rPr>
        <w:t xml:space="preserve">, one male reviewer wrote, on </w:t>
      </w:r>
      <w:r w:rsidRPr="001E0710">
        <w:rPr>
          <w:rFonts w:cs="Arial"/>
        </w:rPr>
        <w:lastRenderedPageBreak/>
        <w:t>average, 44.6% of all reviews 2017-2019.</w:t>
      </w:r>
      <w:r w:rsidRPr="00715DA1">
        <w:rPr>
          <w:rStyle w:val="FootnoteReference"/>
        </w:rPr>
        <w:footnoteReference w:id="29"/>
      </w:r>
      <w:r w:rsidRPr="001E0710">
        <w:rPr>
          <w:rFonts w:cs="Arial"/>
        </w:rPr>
        <w:t xml:space="preserve"> In </w:t>
      </w:r>
      <w:r w:rsidRPr="001E0710">
        <w:rPr>
          <w:rFonts w:cs="Arial"/>
          <w:i/>
          <w:iCs/>
        </w:rPr>
        <w:t>The Scotsman</w:t>
      </w:r>
      <w:r w:rsidRPr="001E0710">
        <w:rPr>
          <w:rFonts w:cs="Arial"/>
        </w:rPr>
        <w:t xml:space="preserve">, there were 3 male reviewers who wrote more reviews than other reviewers each year: between them, these 3 individuals wrote on average 69.9% of all reviews 2017-2019. </w:t>
      </w:r>
      <w:r>
        <w:rPr>
          <w:rFonts w:cs="Arial"/>
        </w:rPr>
        <w:t xml:space="preserve">Anonymised figures showing the number of reviews per individual reviewer are illustrated in Figures 6 and 7, for </w:t>
      </w:r>
      <w:r w:rsidRPr="009731D6">
        <w:rPr>
          <w:rFonts w:cs="Arial"/>
          <w:i/>
          <w:iCs/>
        </w:rPr>
        <w:t>The Herald</w:t>
      </w:r>
      <w:r>
        <w:rPr>
          <w:rFonts w:cs="Arial"/>
        </w:rPr>
        <w:t xml:space="preserve"> and </w:t>
      </w:r>
      <w:r w:rsidRPr="009731D6">
        <w:rPr>
          <w:rFonts w:cs="Arial"/>
          <w:i/>
          <w:iCs/>
        </w:rPr>
        <w:t>The Scotsman</w:t>
      </w:r>
      <w:r>
        <w:rPr>
          <w:rFonts w:cs="Arial"/>
        </w:rPr>
        <w:t xml:space="preserve"> respectively.</w:t>
      </w:r>
    </w:p>
    <w:p w14:paraId="522E3762" w14:textId="77777777" w:rsidR="00CD0DE6" w:rsidRDefault="00CD0DE6" w:rsidP="001A6652">
      <w:pPr>
        <w:keepNext/>
        <w:spacing w:line="360" w:lineRule="auto"/>
      </w:pPr>
      <w:r w:rsidRPr="001E0710">
        <w:rPr>
          <w:rFonts w:cs="Arial"/>
          <w:noProof/>
        </w:rPr>
        <w:lastRenderedPageBreak/>
        <w:drawing>
          <wp:inline distT="0" distB="0" distL="0" distR="0" wp14:anchorId="171A8950" wp14:editId="6A54855A">
            <wp:extent cx="5678170" cy="8566785"/>
            <wp:effectExtent l="0" t="0" r="0" b="5715"/>
            <wp:docPr id="4" name="Chart 4" descr="In this bar chart, the y axis lists reviewers by gender, e.g. “Male reviewer 01” or “Unavailable Data Reviewer 04”, and shows that Male Reviewer 01 wrote a vast majority of reviews published in The Herald 2017-20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20F84AA" w14:textId="77777777" w:rsidR="00CD0DE6" w:rsidRPr="001E0710" w:rsidRDefault="00CD0DE6" w:rsidP="001A6652">
      <w:pPr>
        <w:pStyle w:val="Caption"/>
        <w:rPr>
          <w:rFonts w:cs="Arial"/>
        </w:rPr>
      </w:pPr>
      <w:r>
        <w:lastRenderedPageBreak/>
        <w:t xml:space="preserve">Figure </w:t>
      </w:r>
      <w:r>
        <w:fldChar w:fldCharType="begin"/>
      </w:r>
      <w:r>
        <w:instrText>SEQ Figure \* ARABIC</w:instrText>
      </w:r>
      <w:r>
        <w:fldChar w:fldCharType="separate"/>
      </w:r>
      <w:r>
        <w:rPr>
          <w:noProof/>
        </w:rPr>
        <w:t>6</w:t>
      </w:r>
      <w:r>
        <w:fldChar w:fldCharType="end"/>
      </w:r>
      <w:r>
        <w:t xml:space="preserve"> Reviews in The Herald by individual reviewers, sorted by gender</w:t>
      </w:r>
    </w:p>
    <w:p w14:paraId="38615456" w14:textId="77777777" w:rsidR="00CD0DE6" w:rsidRDefault="00CD0DE6" w:rsidP="001A6652">
      <w:pPr>
        <w:keepNext/>
        <w:spacing w:line="360" w:lineRule="auto"/>
      </w:pPr>
      <w:r w:rsidRPr="001E0710">
        <w:rPr>
          <w:rFonts w:cs="Arial"/>
          <w:noProof/>
        </w:rPr>
        <w:drawing>
          <wp:inline distT="0" distB="0" distL="0" distR="0" wp14:anchorId="12AF18B7" wp14:editId="075BFF7D">
            <wp:extent cx="5247249" cy="5013325"/>
            <wp:effectExtent l="0" t="0" r="0" b="3175"/>
            <wp:docPr id="5" name="Chart 5" descr="In this bar chart, the y axis lists reviewers by gender, e.g. “Male reviewer 01” or “Unavailable Data Reviewer 04”, and shows that Male Reviewer 01, Male Reviewer 02 and Male Reviewer 03 wrote a vast majority of reviews published in The Scotsman 2017-20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8ED3446" w14:textId="77777777" w:rsidR="00CD0DE6" w:rsidRDefault="00CD0DE6" w:rsidP="001A6652">
      <w:pPr>
        <w:pStyle w:val="Caption"/>
        <w:rPr>
          <w:rFonts w:cs="Arial"/>
        </w:rPr>
      </w:pPr>
      <w:r>
        <w:t xml:space="preserve">Figure </w:t>
      </w:r>
      <w:r>
        <w:fldChar w:fldCharType="begin"/>
      </w:r>
      <w:r>
        <w:instrText>SEQ Figure \* ARABIC</w:instrText>
      </w:r>
      <w:r>
        <w:fldChar w:fldCharType="separate"/>
      </w:r>
      <w:r>
        <w:rPr>
          <w:noProof/>
        </w:rPr>
        <w:t>7</w:t>
      </w:r>
      <w:r>
        <w:fldChar w:fldCharType="end"/>
      </w:r>
      <w:r>
        <w:t xml:space="preserve"> Reviews in The Scotsman by individual reviewers, sorted by gender</w:t>
      </w:r>
    </w:p>
    <w:p w14:paraId="0EFB0A6B" w14:textId="77777777" w:rsidR="00CD0DE6" w:rsidRPr="0065313A" w:rsidRDefault="00CD0DE6" w:rsidP="001A6652">
      <w:pPr>
        <w:spacing w:line="360" w:lineRule="auto"/>
        <w:rPr>
          <w:rStyle w:val="IntenseEmphasis"/>
        </w:rPr>
      </w:pPr>
      <w:r w:rsidRPr="001E0710">
        <w:rPr>
          <w:rFonts w:cs="Arial"/>
        </w:rPr>
        <w:t xml:space="preserve">We have seen that male authors received more reviews, and that male reviewers did more reviewing. There are further disparities when we consider who is reviewed by whom. </w:t>
      </w:r>
      <w:r>
        <w:rPr>
          <w:rFonts w:cs="Arial"/>
        </w:rPr>
        <w:t>As illustrated by Figure 8, i</w:t>
      </w:r>
      <w:r w:rsidRPr="001E0710">
        <w:rPr>
          <w:rFonts w:cs="Arial"/>
        </w:rPr>
        <w:t>n the same period,</w:t>
      </w:r>
      <w:r>
        <w:rPr>
          <w:rFonts w:cs="Arial"/>
        </w:rPr>
        <w:t xml:space="preserve"> 876</w:t>
      </w:r>
      <w:r w:rsidRPr="001E0710">
        <w:rPr>
          <w:rFonts w:cs="Arial"/>
        </w:rPr>
        <w:t xml:space="preserve"> </w:t>
      </w:r>
      <w:r>
        <w:rPr>
          <w:rFonts w:cs="Arial"/>
        </w:rPr>
        <w:t>(</w:t>
      </w:r>
      <w:r w:rsidRPr="001E0710">
        <w:rPr>
          <w:rFonts w:cs="Arial"/>
        </w:rPr>
        <w:t>55.9%</w:t>
      </w:r>
      <w:r>
        <w:rPr>
          <w:rFonts w:cs="Arial"/>
        </w:rPr>
        <w:t>)</w:t>
      </w:r>
      <w:r w:rsidRPr="001E0710">
        <w:rPr>
          <w:rFonts w:cs="Arial"/>
        </w:rPr>
        <w:t xml:space="preserve"> of all authors reviewed are men reviewed by men; </w:t>
      </w:r>
      <w:r>
        <w:rPr>
          <w:rFonts w:cs="Arial"/>
        </w:rPr>
        <w:t>404 (</w:t>
      </w:r>
      <w:r w:rsidRPr="001E0710">
        <w:rPr>
          <w:rFonts w:cs="Arial"/>
        </w:rPr>
        <w:t>25.8%</w:t>
      </w:r>
      <w:r>
        <w:rPr>
          <w:rFonts w:cs="Arial"/>
        </w:rPr>
        <w:t>)</w:t>
      </w:r>
      <w:r w:rsidRPr="001E0710">
        <w:rPr>
          <w:rFonts w:cs="Arial"/>
        </w:rPr>
        <w:t xml:space="preserve"> women reviewed by men;</w:t>
      </w:r>
      <w:r>
        <w:rPr>
          <w:rFonts w:cs="Arial"/>
        </w:rPr>
        <w:t xml:space="preserve"> 165 (</w:t>
      </w:r>
      <w:r w:rsidRPr="001E0710">
        <w:rPr>
          <w:rFonts w:cs="Arial"/>
        </w:rPr>
        <w:t>10.5%</w:t>
      </w:r>
      <w:r>
        <w:rPr>
          <w:rFonts w:cs="Arial"/>
        </w:rPr>
        <w:t>)</w:t>
      </w:r>
      <w:r w:rsidRPr="001E0710">
        <w:rPr>
          <w:rFonts w:cs="Arial"/>
        </w:rPr>
        <w:t xml:space="preserve"> women reviewed by women;</w:t>
      </w:r>
      <w:r>
        <w:rPr>
          <w:rFonts w:cs="Arial"/>
        </w:rPr>
        <w:t xml:space="preserve"> and</w:t>
      </w:r>
      <w:r w:rsidRPr="001E0710">
        <w:rPr>
          <w:rFonts w:cs="Arial"/>
        </w:rPr>
        <w:t xml:space="preserve"> </w:t>
      </w:r>
      <w:r>
        <w:rPr>
          <w:rFonts w:cs="Arial"/>
        </w:rPr>
        <w:t>122 (</w:t>
      </w:r>
      <w:r w:rsidRPr="001E0710">
        <w:rPr>
          <w:rFonts w:cs="Arial"/>
        </w:rPr>
        <w:t>7.8%</w:t>
      </w:r>
      <w:r>
        <w:rPr>
          <w:rFonts w:cs="Arial"/>
        </w:rPr>
        <w:t>)</w:t>
      </w:r>
      <w:r w:rsidRPr="001E0710">
        <w:rPr>
          <w:rFonts w:cs="Arial"/>
        </w:rPr>
        <w:t xml:space="preserve"> men reviewed by women</w:t>
      </w:r>
      <w:r w:rsidRPr="00905A5D">
        <w:t>. That is,</w:t>
      </w:r>
      <w:r w:rsidRPr="0065313A">
        <w:rPr>
          <w:rStyle w:val="IntenseEmphasis"/>
        </w:rPr>
        <w:t xml:space="preserve"> male reviewers reviewed </w:t>
      </w:r>
      <w:r>
        <w:rPr>
          <w:rStyle w:val="IntenseEmphasis"/>
        </w:rPr>
        <w:t>116%</w:t>
      </w:r>
      <w:r w:rsidRPr="0065313A">
        <w:rPr>
          <w:rStyle w:val="IntenseEmphasis"/>
        </w:rPr>
        <w:t xml:space="preserve"> </w:t>
      </w:r>
      <w:r>
        <w:rPr>
          <w:rStyle w:val="IntenseEmphasis"/>
        </w:rPr>
        <w:t>more</w:t>
      </w:r>
      <w:r w:rsidRPr="0065313A">
        <w:rPr>
          <w:rStyle w:val="IntenseEmphasis"/>
        </w:rPr>
        <w:t xml:space="preserve"> male authors </w:t>
      </w:r>
      <w:r>
        <w:rPr>
          <w:rStyle w:val="IntenseEmphasis"/>
        </w:rPr>
        <w:t>than</w:t>
      </w:r>
      <w:r w:rsidRPr="0065313A">
        <w:rPr>
          <w:rStyle w:val="IntenseEmphasis"/>
        </w:rPr>
        <w:t xml:space="preserve"> female authors, while female reviewers reviewed </w:t>
      </w:r>
      <w:r>
        <w:rPr>
          <w:rStyle w:val="IntenseEmphasis"/>
        </w:rPr>
        <w:t>only 35% more</w:t>
      </w:r>
      <w:r w:rsidRPr="0065313A">
        <w:rPr>
          <w:rStyle w:val="IntenseEmphasis"/>
        </w:rPr>
        <w:t xml:space="preserve"> female authors</w:t>
      </w:r>
      <w:r>
        <w:rPr>
          <w:rStyle w:val="IntenseEmphasis"/>
        </w:rPr>
        <w:t xml:space="preserve"> than male authors</w:t>
      </w:r>
      <w:r w:rsidRPr="0065313A">
        <w:rPr>
          <w:rStyle w:val="IntenseEmphasis"/>
        </w:rPr>
        <w:t>.</w:t>
      </w:r>
    </w:p>
    <w:p w14:paraId="4FCB6C0F" w14:textId="77777777" w:rsidR="00CD0DE6" w:rsidRDefault="00CD0DE6" w:rsidP="001A6652">
      <w:pPr>
        <w:keepNext/>
        <w:spacing w:line="360" w:lineRule="auto"/>
      </w:pPr>
      <w:r>
        <w:rPr>
          <w:rFonts w:cs="Arial"/>
          <w:noProof/>
        </w:rPr>
        <w:lastRenderedPageBreak/>
        <w:drawing>
          <wp:inline distT="0" distB="0" distL="0" distR="0" wp14:anchorId="49847627" wp14:editId="2DBB36CF">
            <wp:extent cx="5486400" cy="3200400"/>
            <wp:effectExtent l="0" t="0" r="12700" b="12700"/>
            <wp:docPr id="1556651702" name="Chart 6" descr="This pie chart shows the figures in the text before figure 8, illustrating that male authors reviewed by male reviewers make up 55.9% of all reviews published in The Scotsman and The Herald 2017-20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FD5656" w14:textId="77777777" w:rsidR="00CD0DE6" w:rsidRPr="001E0710" w:rsidRDefault="00CD0DE6" w:rsidP="001A6652">
      <w:pPr>
        <w:pStyle w:val="Caption"/>
        <w:rPr>
          <w:rFonts w:cs="Arial"/>
        </w:rPr>
      </w:pPr>
      <w:r>
        <w:t xml:space="preserve">Figure </w:t>
      </w:r>
      <w:r>
        <w:fldChar w:fldCharType="begin"/>
      </w:r>
      <w:r>
        <w:instrText>SEQ Figure \* ARABIC</w:instrText>
      </w:r>
      <w:r>
        <w:fldChar w:fldCharType="separate"/>
      </w:r>
      <w:r>
        <w:rPr>
          <w:noProof/>
        </w:rPr>
        <w:t>8</w:t>
      </w:r>
      <w:r>
        <w:fldChar w:fldCharType="end"/>
      </w:r>
      <w:r>
        <w:t xml:space="preserve"> Total reviews by gender of author and critic, 2017-2019, The Scotsman and The Herald</w:t>
      </w:r>
    </w:p>
    <w:p w14:paraId="16E607BF" w14:textId="77777777" w:rsidR="00CD0DE6" w:rsidRPr="001E0710" w:rsidRDefault="00CD0DE6" w:rsidP="001A6652">
      <w:pPr>
        <w:pStyle w:val="Heading2"/>
        <w:rPr>
          <w:rFonts w:cs="Arial"/>
        </w:rPr>
      </w:pPr>
      <w:bookmarkStart w:id="32" w:name="_Toc180580126"/>
      <w:bookmarkStart w:id="33" w:name="_Toc195538153"/>
      <w:r w:rsidRPr="001E0710">
        <w:rPr>
          <w:rFonts w:cs="Arial"/>
        </w:rPr>
        <w:t>Book festivals</w:t>
      </w:r>
      <w:bookmarkEnd w:id="32"/>
      <w:bookmarkEnd w:id="33"/>
    </w:p>
    <w:p w14:paraId="11C3F073" w14:textId="77777777" w:rsidR="00CD0DE6" w:rsidRPr="001E0710" w:rsidRDefault="00CD0DE6" w:rsidP="001A6652">
      <w:pPr>
        <w:spacing w:line="360" w:lineRule="auto"/>
        <w:jc w:val="both"/>
        <w:rPr>
          <w:rFonts w:cs="Arial"/>
          <w:color w:val="000000" w:themeColor="text1"/>
        </w:rPr>
      </w:pPr>
      <w:r w:rsidRPr="001E0710">
        <w:rPr>
          <w:rFonts w:cs="Arial"/>
        </w:rPr>
        <w:t xml:space="preserve">I analysed three annual book festivals. </w:t>
      </w:r>
      <w:r w:rsidRPr="001E0710">
        <w:rPr>
          <w:rFonts w:cs="Arial"/>
          <w:color w:val="000000" w:themeColor="text1"/>
        </w:rPr>
        <w:t>I chose to study these specific three festivals because I wanted a sample of gender differences in large, medium-sized, and genre festivals.</w:t>
      </w:r>
      <w:r w:rsidRPr="00715DA1">
        <w:rPr>
          <w:rStyle w:val="FootnoteReference"/>
        </w:rPr>
        <w:footnoteReference w:id="30"/>
      </w:r>
    </w:p>
    <w:p w14:paraId="24EC18E3" w14:textId="77777777" w:rsidR="00CD0DE6" w:rsidRDefault="00CD0DE6" w:rsidP="001A6652">
      <w:pPr>
        <w:spacing w:line="360" w:lineRule="auto"/>
        <w:ind w:firstLine="720"/>
        <w:jc w:val="both"/>
        <w:rPr>
          <w:rFonts w:cs="Arial"/>
        </w:rPr>
      </w:pPr>
      <w:r w:rsidRPr="0065313A">
        <w:rPr>
          <w:rStyle w:val="IntenseEmphasis"/>
        </w:rPr>
        <w:t>In 2017-2019, the three festivals – Edinburgh International Book Festival (EIBF), Aye Write and Bloody Scotland – collectively programmed more male authors than female authors.</w:t>
      </w:r>
      <w:r w:rsidRPr="001E0710">
        <w:rPr>
          <w:rFonts w:cs="Arial"/>
        </w:rPr>
        <w:t xml:space="preserve"> In total across all three festivals, the programming consisted of 53.4% (2,206) male authors, 46.1% (1,905) female authors and 0.4% (18) non-binary authors. </w:t>
      </w:r>
      <w:r>
        <w:rPr>
          <w:rFonts w:cs="Arial"/>
        </w:rPr>
        <w:t xml:space="preserve">No gender data was available for 52 authors. </w:t>
      </w:r>
      <w:r w:rsidRPr="001E0710">
        <w:rPr>
          <w:rFonts w:cs="Arial"/>
        </w:rPr>
        <w:t xml:space="preserve">Festival-by-festival data is in the </w:t>
      </w:r>
      <w:r>
        <w:rPr>
          <w:rFonts w:cs="Arial"/>
        </w:rPr>
        <w:t>A</w:t>
      </w:r>
      <w:r w:rsidRPr="001E0710">
        <w:rPr>
          <w:rFonts w:cs="Arial"/>
        </w:rPr>
        <w:t>ppendix.</w:t>
      </w:r>
    </w:p>
    <w:p w14:paraId="10837D48" w14:textId="77777777" w:rsidR="00CD0DE6" w:rsidRDefault="00CD0DE6" w:rsidP="001A6652">
      <w:pPr>
        <w:spacing w:line="360" w:lineRule="auto"/>
        <w:ind w:firstLine="720"/>
        <w:jc w:val="both"/>
        <w:rPr>
          <w:rFonts w:cs="Arial"/>
        </w:rPr>
      </w:pPr>
      <w:r>
        <w:rPr>
          <w:rFonts w:cs="Arial"/>
        </w:rPr>
        <w:t xml:space="preserve">On average, at </w:t>
      </w:r>
      <w:r w:rsidRPr="001E0710">
        <w:rPr>
          <w:rFonts w:cs="Arial"/>
        </w:rPr>
        <w:t>Aye Write</w:t>
      </w:r>
      <w:r>
        <w:rPr>
          <w:rFonts w:cs="Arial"/>
        </w:rPr>
        <w:t xml:space="preserve"> </w:t>
      </w:r>
      <w:r w:rsidRPr="001E0710">
        <w:rPr>
          <w:rFonts w:cs="Arial"/>
        </w:rPr>
        <w:t>and EIBF</w:t>
      </w:r>
      <w:r>
        <w:rPr>
          <w:rFonts w:cs="Arial"/>
        </w:rPr>
        <w:t>,</w:t>
      </w:r>
      <w:r w:rsidRPr="00715DA1">
        <w:rPr>
          <w:rStyle w:val="FootnoteReference"/>
        </w:rPr>
        <w:footnoteReference w:id="31"/>
      </w:r>
      <w:r>
        <w:rPr>
          <w:rFonts w:cs="Arial"/>
        </w:rPr>
        <w:t xml:space="preserve"> the </w:t>
      </w:r>
      <w:r w:rsidRPr="0065313A">
        <w:rPr>
          <w:rStyle w:val="IntenseEmphasis"/>
        </w:rPr>
        <w:t>men programmed were more likely than the women to have a solo event: the gender disparity is an average of 7.2 points higher for solo events than the gender disparity for total events</w:t>
      </w:r>
      <w:r>
        <w:rPr>
          <w:rFonts w:cs="Arial"/>
        </w:rPr>
        <w:t>.</w:t>
      </w:r>
    </w:p>
    <w:p w14:paraId="1F69EB34" w14:textId="77777777" w:rsidR="00CD0DE6" w:rsidRPr="001E0710" w:rsidRDefault="00CD0DE6" w:rsidP="001A6652">
      <w:pPr>
        <w:pStyle w:val="Heading2"/>
        <w:rPr>
          <w:rFonts w:cs="Arial"/>
        </w:rPr>
      </w:pPr>
      <w:bookmarkStart w:id="34" w:name="_Toc195538154"/>
      <w:r w:rsidRPr="001E0710">
        <w:rPr>
          <w:rFonts w:cs="Arial"/>
        </w:rPr>
        <w:lastRenderedPageBreak/>
        <w:t>Amplifying Visibility</w:t>
      </w:r>
      <w:bookmarkEnd w:id="34"/>
    </w:p>
    <w:p w14:paraId="3D70FEA3" w14:textId="77777777" w:rsidR="00CD0DE6" w:rsidRDefault="00CD0DE6" w:rsidP="001A6652">
      <w:pPr>
        <w:spacing w:line="360" w:lineRule="auto"/>
        <w:jc w:val="both"/>
        <w:rPr>
          <w:rFonts w:cs="Arial"/>
          <w:szCs w:val="24"/>
        </w:rPr>
      </w:pPr>
      <w:r w:rsidRPr="001E0710">
        <w:rPr>
          <w:rFonts w:cs="Arial"/>
        </w:rPr>
        <w:t xml:space="preserve">As well as looking at the gender disparities in these different areas, </w:t>
      </w:r>
      <w:r>
        <w:rPr>
          <w:rFonts w:cs="Arial"/>
        </w:rPr>
        <w:t>it is</w:t>
      </w:r>
      <w:r w:rsidRPr="001E0710">
        <w:rPr>
          <w:rFonts w:cs="Arial"/>
        </w:rPr>
        <w:t xml:space="preserve"> important to look at the overlaps between these areas. Many authors appear multiple times across the data. For example, the same author might both appear at a festival and receive a book review. However, very few authors appeared a high number of times across the data, and there are also disparities in this small group. </w:t>
      </w:r>
    </w:p>
    <w:p w14:paraId="32E57767" w14:textId="77777777" w:rsidR="00CD0DE6" w:rsidRDefault="00CD0DE6" w:rsidP="001A6652">
      <w:pPr>
        <w:spacing w:line="360" w:lineRule="auto"/>
        <w:ind w:firstLine="720"/>
        <w:jc w:val="both"/>
        <w:rPr>
          <w:rFonts w:cs="Arial"/>
          <w:szCs w:val="24"/>
        </w:rPr>
      </w:pPr>
      <w:r w:rsidRPr="001E0710">
        <w:rPr>
          <w:rFonts w:cs="Arial"/>
        </w:rPr>
        <w:t xml:space="preserve">27 authors appeared </w:t>
      </w:r>
      <w:r>
        <w:rPr>
          <w:rFonts w:cs="Arial"/>
        </w:rPr>
        <w:t>over</w:t>
      </w:r>
      <w:r w:rsidRPr="001E0710">
        <w:rPr>
          <w:rFonts w:cs="Arial"/>
        </w:rPr>
        <w:t xml:space="preserve"> 10 times </w:t>
      </w:r>
      <w:r>
        <w:rPr>
          <w:rFonts w:cs="Arial"/>
        </w:rPr>
        <w:t xml:space="preserve">in one or more of the data sets for </w:t>
      </w:r>
      <w:r w:rsidRPr="001E0710">
        <w:rPr>
          <w:rFonts w:cs="Arial"/>
        </w:rPr>
        <w:t>publishing, prizes, reviewing and festivals</w:t>
      </w:r>
      <w:r>
        <w:rPr>
          <w:rFonts w:cs="Arial"/>
        </w:rPr>
        <w:t>.</w:t>
      </w:r>
      <w:r w:rsidRPr="001E0710">
        <w:rPr>
          <w:rFonts w:cs="Arial"/>
        </w:rPr>
        <w:t xml:space="preserve"> 19 </w:t>
      </w:r>
      <w:r>
        <w:rPr>
          <w:rFonts w:cs="Arial"/>
        </w:rPr>
        <w:t xml:space="preserve">(70.4%) of these 27 authors were </w:t>
      </w:r>
      <w:r w:rsidRPr="001E0710">
        <w:rPr>
          <w:rFonts w:cs="Arial"/>
        </w:rPr>
        <w:t xml:space="preserve">men and 8 </w:t>
      </w:r>
      <w:r>
        <w:rPr>
          <w:rFonts w:cs="Arial"/>
        </w:rPr>
        <w:t xml:space="preserve">(29.6%) were </w:t>
      </w:r>
      <w:r w:rsidRPr="001E0710">
        <w:rPr>
          <w:rFonts w:cs="Arial"/>
        </w:rPr>
        <w:t>women</w:t>
      </w:r>
      <w:r>
        <w:rPr>
          <w:rFonts w:cs="Arial"/>
        </w:rPr>
        <w:t xml:space="preserve">. </w:t>
      </w:r>
      <w:r w:rsidRPr="001E0710">
        <w:rPr>
          <w:rFonts w:cs="Arial"/>
        </w:rPr>
        <w:t xml:space="preserve">18 </w:t>
      </w:r>
      <w:r w:rsidRPr="00905A5D">
        <w:rPr>
          <w:rFonts w:cs="Arial"/>
        </w:rPr>
        <w:t>were white men</w:t>
      </w:r>
      <w:r>
        <w:rPr>
          <w:rFonts w:cs="Arial"/>
        </w:rPr>
        <w:t>,</w:t>
      </w:r>
      <w:r w:rsidRPr="00905A5D">
        <w:rPr>
          <w:rFonts w:cs="Arial"/>
        </w:rPr>
        <w:t xml:space="preserve"> 7 were white women. There was one BPOC man and one BPOC woman in these 27 authors, at 11 and 12 appearances in the data; authors appearing</w:t>
      </w:r>
      <w:r w:rsidRPr="001E0710">
        <w:rPr>
          <w:rFonts w:cs="Arial"/>
        </w:rPr>
        <w:t xml:space="preserve"> 13-45 times across platforms in this time period </w:t>
      </w:r>
      <w:r>
        <w:rPr>
          <w:rFonts w:cs="Arial"/>
        </w:rPr>
        <w:t>were</w:t>
      </w:r>
      <w:r w:rsidRPr="001E0710">
        <w:rPr>
          <w:rFonts w:cs="Arial"/>
        </w:rPr>
        <w:t xml:space="preserve"> all white. Of the 10 authors who appeared most in the data, only 3 were female, and all 10 were white.</w:t>
      </w:r>
    </w:p>
    <w:p w14:paraId="28226922" w14:textId="77777777" w:rsidR="00CD0DE6" w:rsidRDefault="00CD0DE6" w:rsidP="001A6652">
      <w:pPr>
        <w:spacing w:line="360" w:lineRule="auto"/>
        <w:ind w:firstLine="720"/>
        <w:jc w:val="both"/>
        <w:rPr>
          <w:rFonts w:cs="Arial"/>
          <w:szCs w:val="24"/>
        </w:rPr>
      </w:pPr>
      <w:r w:rsidRPr="001E0710">
        <w:rPr>
          <w:rFonts w:cs="Arial"/>
        </w:rPr>
        <w:t xml:space="preserve">Finally, there were 17 authors who appeared in all four areas: they were published in Scotland, received a review, spoke at a book festival, and were shortlisted and/or won a literary prize. Of these 17, 11 </w:t>
      </w:r>
      <w:r>
        <w:rPr>
          <w:rFonts w:cs="Arial"/>
        </w:rPr>
        <w:t xml:space="preserve">(64.7%) </w:t>
      </w:r>
      <w:r w:rsidRPr="001E0710">
        <w:rPr>
          <w:rFonts w:cs="Arial"/>
        </w:rPr>
        <w:t xml:space="preserve">were men and 6 </w:t>
      </w:r>
      <w:r>
        <w:rPr>
          <w:rFonts w:cs="Arial"/>
        </w:rPr>
        <w:t xml:space="preserve">(35.3%) </w:t>
      </w:r>
      <w:r w:rsidRPr="001E0710">
        <w:rPr>
          <w:rFonts w:cs="Arial"/>
        </w:rPr>
        <w:t>were women. All 17 of these authors were white, meaning that</w:t>
      </w:r>
      <w:r w:rsidRPr="001E0710">
        <w:rPr>
          <w:rFonts w:cs="Arial"/>
          <w:szCs w:val="24"/>
        </w:rPr>
        <w:t xml:space="preserve"> this higher visibility was entirely unavailable to </w:t>
      </w:r>
      <w:r>
        <w:rPr>
          <w:rFonts w:cs="Arial"/>
          <w:szCs w:val="24"/>
        </w:rPr>
        <w:t>BPOC authors</w:t>
      </w:r>
      <w:r w:rsidRPr="001E0710">
        <w:rPr>
          <w:rFonts w:cs="Arial"/>
          <w:szCs w:val="24"/>
        </w:rPr>
        <w:t xml:space="preserve"> within this 3</w:t>
      </w:r>
      <w:r>
        <w:rPr>
          <w:rFonts w:cs="Arial"/>
          <w:szCs w:val="24"/>
        </w:rPr>
        <w:t>-</w:t>
      </w:r>
      <w:r w:rsidRPr="001E0710">
        <w:rPr>
          <w:rFonts w:cs="Arial"/>
          <w:szCs w:val="24"/>
        </w:rPr>
        <w:t>year sample.</w:t>
      </w:r>
    </w:p>
    <w:p w14:paraId="4B281877" w14:textId="77777777" w:rsidR="00CD0DE6" w:rsidRPr="001E0710" w:rsidRDefault="00CD0DE6" w:rsidP="001A6652">
      <w:pPr>
        <w:spacing w:line="360" w:lineRule="auto"/>
        <w:ind w:firstLine="720"/>
        <w:jc w:val="both"/>
        <w:rPr>
          <w:rFonts w:cs="Arial"/>
          <w:szCs w:val="24"/>
        </w:rPr>
      </w:pPr>
      <w:r w:rsidRPr="00B00E9A">
        <w:t>This cross-cutting analysis shows that higher visibility results in more men being represented, and that,</w:t>
      </w:r>
      <w:r w:rsidRPr="0065313A">
        <w:rPr>
          <w:rStyle w:val="IntenseEmphasis"/>
        </w:rPr>
        <w:t xml:space="preserve"> the </w:t>
      </w:r>
      <w:r>
        <w:rPr>
          <w:rStyle w:val="IntenseEmphasis"/>
        </w:rPr>
        <w:t>more visibility was amplified</w:t>
      </w:r>
      <w:r w:rsidRPr="0065313A">
        <w:rPr>
          <w:rStyle w:val="IntenseEmphasis"/>
        </w:rPr>
        <w:t xml:space="preserve">, the more </w:t>
      </w:r>
      <w:r>
        <w:rPr>
          <w:rStyle w:val="IntenseEmphasis"/>
        </w:rPr>
        <w:t>BPOC authors</w:t>
      </w:r>
      <w:r w:rsidRPr="0065313A">
        <w:rPr>
          <w:rStyle w:val="IntenseEmphasis"/>
        </w:rPr>
        <w:t xml:space="preserve"> are excluded.</w:t>
      </w:r>
      <w:r w:rsidRPr="001E0710">
        <w:rPr>
          <w:rFonts w:cs="Arial"/>
        </w:rPr>
        <w:t xml:space="preserve"> </w:t>
      </w:r>
      <w:r w:rsidRPr="001E0710">
        <w:rPr>
          <w:rFonts w:cs="Arial"/>
          <w:szCs w:val="24"/>
        </w:rPr>
        <w:t>The more an author appeared multiple times across the data – for example, both receiving a book review and winning a prize, or having four different festival events – the more likely they were to be white.</w:t>
      </w:r>
    </w:p>
    <w:p w14:paraId="5C3F6246" w14:textId="77777777" w:rsidR="00CD0DE6" w:rsidRPr="001E0710" w:rsidRDefault="00CD0DE6" w:rsidP="001A6652">
      <w:pPr>
        <w:pStyle w:val="Heading2"/>
        <w:rPr>
          <w:rFonts w:cs="Arial"/>
        </w:rPr>
      </w:pPr>
      <w:bookmarkStart w:id="35" w:name="_Toc195538155"/>
      <w:bookmarkStart w:id="36" w:name="_Toc180580129"/>
      <w:r w:rsidRPr="001E0710">
        <w:rPr>
          <w:rFonts w:cs="Arial"/>
        </w:rPr>
        <w:t>Summary</w:t>
      </w:r>
      <w:bookmarkEnd w:id="35"/>
      <w:r w:rsidRPr="001E0710">
        <w:rPr>
          <w:rFonts w:cs="Arial"/>
        </w:rPr>
        <w:t xml:space="preserve"> </w:t>
      </w:r>
      <w:bookmarkEnd w:id="36"/>
    </w:p>
    <w:p w14:paraId="06A9F77E" w14:textId="77777777" w:rsidR="00CD0DE6" w:rsidRDefault="00CD0DE6" w:rsidP="001A6652">
      <w:pPr>
        <w:spacing w:line="360" w:lineRule="auto"/>
        <w:contextualSpacing/>
        <w:jc w:val="both"/>
        <w:rPr>
          <w:rFonts w:cs="Arial"/>
          <w:szCs w:val="24"/>
        </w:rPr>
      </w:pPr>
      <w:r w:rsidRPr="00F173B5">
        <w:rPr>
          <w:rFonts w:cs="Arial"/>
          <w:szCs w:val="24"/>
        </w:rPr>
        <w:t xml:space="preserve">In each of the areas of </w:t>
      </w:r>
      <w:r>
        <w:rPr>
          <w:rFonts w:cs="Arial"/>
          <w:szCs w:val="24"/>
        </w:rPr>
        <w:t>the Scottish</w:t>
      </w:r>
      <w:r w:rsidRPr="00F173B5">
        <w:rPr>
          <w:rFonts w:cs="Arial"/>
          <w:szCs w:val="24"/>
        </w:rPr>
        <w:t xml:space="preserve"> </w:t>
      </w:r>
      <w:r>
        <w:rPr>
          <w:rFonts w:cs="Arial"/>
          <w:szCs w:val="24"/>
        </w:rPr>
        <w:t>literary sector</w:t>
      </w:r>
      <w:r w:rsidRPr="00F173B5">
        <w:rPr>
          <w:rFonts w:cs="Arial"/>
          <w:szCs w:val="24"/>
        </w:rPr>
        <w:t xml:space="preserve"> that I analysed, I found gender disparity. In over 100 years of prizes, men were awarded almost twice as often as women. In 3 years of publishing, publishers published male authors 50% more often than female authors; in the same period in reviewing, male authors were reviewed over 60% more often, and men wrote more than 4 times as many reviews; and in the same period in festivals, men were programmed more than women, and given solo events at an even higher rate. I found that </w:t>
      </w:r>
      <w:r>
        <w:rPr>
          <w:rFonts w:cs="Arial"/>
          <w:szCs w:val="24"/>
        </w:rPr>
        <w:t xml:space="preserve">male authors’ visibility was more amplified </w:t>
      </w:r>
      <w:r>
        <w:rPr>
          <w:rFonts w:cs="Arial"/>
          <w:szCs w:val="24"/>
        </w:rPr>
        <w:lastRenderedPageBreak/>
        <w:t>through multiple appearances, and they made up a larger percentage of highly visible authors than in each individual area of publishing, prizes, reviewing and festivals</w:t>
      </w:r>
      <w:r w:rsidRPr="00F173B5">
        <w:rPr>
          <w:rFonts w:cs="Arial"/>
          <w:szCs w:val="24"/>
        </w:rPr>
        <w:t xml:space="preserve">. While doing this work on gender, I also found racial disparity: the more visibility was amplified, the more </w:t>
      </w:r>
      <w:r>
        <w:rPr>
          <w:rFonts w:cs="Arial"/>
          <w:szCs w:val="24"/>
        </w:rPr>
        <w:t>BPOC authors</w:t>
      </w:r>
      <w:r w:rsidRPr="00F173B5">
        <w:rPr>
          <w:rFonts w:cs="Arial"/>
          <w:szCs w:val="24"/>
        </w:rPr>
        <w:t xml:space="preserve"> were excluded.</w:t>
      </w:r>
    </w:p>
    <w:p w14:paraId="41884B01" w14:textId="77777777" w:rsidR="00CD0DE6" w:rsidRPr="00F173B5" w:rsidRDefault="00CD0DE6" w:rsidP="001A6652">
      <w:pPr>
        <w:spacing w:line="360" w:lineRule="auto"/>
        <w:ind w:firstLine="720"/>
        <w:contextualSpacing/>
        <w:jc w:val="both"/>
        <w:rPr>
          <w:rFonts w:cs="Arial"/>
          <w:szCs w:val="24"/>
        </w:rPr>
      </w:pPr>
      <w:r>
        <w:rPr>
          <w:rFonts w:cs="Arial"/>
          <w:szCs w:val="24"/>
        </w:rPr>
        <w:t>T</w:t>
      </w:r>
      <w:r w:rsidRPr="001E0710">
        <w:rPr>
          <w:rFonts w:cs="Arial"/>
        </w:rPr>
        <w:t>he findings on prizes might suggest that there has been some progress over time in addressing gender disparity. However, researchers show us that there is often a ceiling to such progress. In their examination of book reviews in Australian literature, comparing 1985 and 2013, Harvey and Lamond note that they ‘find the recurring 60-70:40-30 ratio of gender disparity curious’.</w:t>
      </w:r>
      <w:r w:rsidRPr="00715DA1">
        <w:rPr>
          <w:rStyle w:val="FootnoteReference"/>
        </w:rPr>
        <w:footnoteReference w:id="32"/>
      </w:r>
    </w:p>
    <w:p w14:paraId="24B241FA" w14:textId="77777777" w:rsidR="00CD0DE6" w:rsidRDefault="00CD0DE6" w:rsidP="001A6652">
      <w:pPr>
        <w:spacing w:line="360" w:lineRule="auto"/>
        <w:ind w:firstLine="720"/>
        <w:contextualSpacing/>
        <w:jc w:val="both"/>
        <w:rPr>
          <w:rFonts w:cs="Arial"/>
        </w:rPr>
      </w:pPr>
      <w:r w:rsidRPr="001E0710">
        <w:rPr>
          <w:rFonts w:cs="Arial"/>
        </w:rPr>
        <w:t>I also observed this recurring ratio</w:t>
      </w:r>
      <w:r>
        <w:rPr>
          <w:rFonts w:cs="Arial"/>
        </w:rPr>
        <w:t xml:space="preserve"> of 60-70:40-30, as illustrated in the graph in Figure 9.</w:t>
      </w:r>
    </w:p>
    <w:p w14:paraId="6599DAC7" w14:textId="77777777" w:rsidR="00CD0DE6" w:rsidRDefault="00CD0DE6" w:rsidP="001A6652">
      <w:pPr>
        <w:pStyle w:val="ListParagraph"/>
        <w:numPr>
          <w:ilvl w:val="0"/>
          <w:numId w:val="17"/>
        </w:numPr>
        <w:jc w:val="both"/>
        <w:rPr>
          <w:rFonts w:cs="Arial"/>
        </w:rPr>
      </w:pPr>
      <w:r>
        <w:rPr>
          <w:rFonts w:cs="Arial"/>
        </w:rPr>
        <w:t>Publishing 2017-2019: 61.3% men, 38.6% women, 0.1% non-binary</w:t>
      </w:r>
    </w:p>
    <w:p w14:paraId="5A6ADEA8" w14:textId="77777777" w:rsidR="00CD0DE6" w:rsidRDefault="00CD0DE6" w:rsidP="001A6652">
      <w:pPr>
        <w:pStyle w:val="ListParagraph"/>
        <w:numPr>
          <w:ilvl w:val="0"/>
          <w:numId w:val="17"/>
        </w:numPr>
        <w:jc w:val="both"/>
        <w:rPr>
          <w:rFonts w:cs="Arial"/>
        </w:rPr>
      </w:pPr>
      <w:r>
        <w:rPr>
          <w:rFonts w:cs="Arial"/>
        </w:rPr>
        <w:t>Authors reviewed 2017-2019: 62.7% men, 37.1% women, 0.3% non-binary</w:t>
      </w:r>
    </w:p>
    <w:p w14:paraId="50ECAF1E" w14:textId="77777777" w:rsidR="00CD0DE6" w:rsidRDefault="00CD0DE6" w:rsidP="001A6652">
      <w:pPr>
        <w:pStyle w:val="ListParagraph"/>
        <w:numPr>
          <w:ilvl w:val="0"/>
          <w:numId w:val="17"/>
        </w:numPr>
        <w:jc w:val="both"/>
        <w:rPr>
          <w:rFonts w:cs="Arial"/>
        </w:rPr>
      </w:pPr>
      <w:r>
        <w:rPr>
          <w:rFonts w:cs="Arial"/>
        </w:rPr>
        <w:t>Reviewers 2017-2019: 82.0% men, 18.0% women, 0% non-binary</w:t>
      </w:r>
    </w:p>
    <w:p w14:paraId="2306F4CE" w14:textId="77777777" w:rsidR="00CD0DE6" w:rsidRDefault="00CD0DE6" w:rsidP="001A6652">
      <w:pPr>
        <w:pStyle w:val="ListParagraph"/>
        <w:numPr>
          <w:ilvl w:val="0"/>
          <w:numId w:val="17"/>
        </w:numPr>
        <w:jc w:val="both"/>
        <w:rPr>
          <w:rFonts w:cs="Arial"/>
        </w:rPr>
      </w:pPr>
      <w:r>
        <w:rPr>
          <w:rFonts w:cs="Arial"/>
        </w:rPr>
        <w:t>All festival events 2017-2019: 53.5% men, 46.1% women, 0.4% non-binary</w:t>
      </w:r>
    </w:p>
    <w:p w14:paraId="5CEA53AF" w14:textId="77777777" w:rsidR="00CD0DE6" w:rsidRDefault="00CD0DE6" w:rsidP="001A6652">
      <w:pPr>
        <w:pStyle w:val="ListParagraph"/>
        <w:numPr>
          <w:ilvl w:val="0"/>
          <w:numId w:val="17"/>
        </w:numPr>
        <w:jc w:val="both"/>
        <w:rPr>
          <w:rFonts w:cs="Arial"/>
        </w:rPr>
      </w:pPr>
      <w:r>
        <w:rPr>
          <w:rFonts w:cs="Arial"/>
        </w:rPr>
        <w:t>Solo author festival events 2017-2019</w:t>
      </w:r>
      <w:r w:rsidRPr="00715DA1">
        <w:rPr>
          <w:rStyle w:val="FootnoteReference"/>
        </w:rPr>
        <w:footnoteReference w:id="33"/>
      </w:r>
      <w:r>
        <w:rPr>
          <w:rFonts w:cs="Arial"/>
        </w:rPr>
        <w:t>: 62.4% men, 37.3% women, 0.3% non-binary</w:t>
      </w:r>
    </w:p>
    <w:p w14:paraId="24993A0A" w14:textId="77777777" w:rsidR="00CD0DE6" w:rsidRPr="00DA7EC8" w:rsidRDefault="00CD0DE6" w:rsidP="001A6652">
      <w:pPr>
        <w:pStyle w:val="ListParagraph"/>
        <w:numPr>
          <w:ilvl w:val="0"/>
          <w:numId w:val="17"/>
        </w:numPr>
        <w:jc w:val="both"/>
        <w:rPr>
          <w:rFonts w:cs="Arial"/>
        </w:rPr>
      </w:pPr>
      <w:r>
        <w:rPr>
          <w:rFonts w:cs="Arial"/>
        </w:rPr>
        <w:t>Total prize winners 1919-2024: 65.9% men, 33.4% women, 0.7% non-binary</w:t>
      </w:r>
    </w:p>
    <w:p w14:paraId="255466D4" w14:textId="77777777" w:rsidR="00CD0DE6" w:rsidRDefault="00CD0DE6" w:rsidP="001A6652">
      <w:pPr>
        <w:keepNext/>
      </w:pPr>
      <w:r>
        <w:rPr>
          <w:noProof/>
        </w:rPr>
        <w:lastRenderedPageBreak/>
        <w:drawing>
          <wp:inline distT="0" distB="0" distL="0" distR="0" wp14:anchorId="466522C2" wp14:editId="736AD3C0">
            <wp:extent cx="5486400" cy="3200400"/>
            <wp:effectExtent l="0" t="0" r="12700" b="12700"/>
            <wp:docPr id="551523257" name="Chart 8" descr="This bar chart stacks the percentages noted in the text before Figure 9 on top of each other to show that most of them align with the proportions 60:40, with the exception of reviewers 82:18 and all festivals 5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1F99AA6" w14:textId="77777777" w:rsidR="00CD0DE6" w:rsidRPr="007E56A9" w:rsidRDefault="00CD0DE6" w:rsidP="001A6652">
      <w:pPr>
        <w:pStyle w:val="Caption"/>
      </w:pPr>
      <w:r>
        <w:t>Figure 9 Comparison of proportions of authors in publishing, reviewing and festivals (2017-2019) and prizes (1919-2024)</w:t>
      </w:r>
    </w:p>
    <w:p w14:paraId="4FAE9EA8" w14:textId="77777777" w:rsidR="001A6652" w:rsidRPr="0065313A" w:rsidRDefault="00CD0DE6" w:rsidP="001A6652">
      <w:pPr>
        <w:spacing w:line="360" w:lineRule="auto"/>
        <w:contextualSpacing/>
        <w:jc w:val="both"/>
        <w:rPr>
          <w:rStyle w:val="IntenseEmphasis"/>
        </w:rPr>
      </w:pPr>
      <w:r w:rsidRPr="001E0710">
        <w:rPr>
          <w:rFonts w:cs="Arial"/>
        </w:rPr>
        <w:t xml:space="preserve">On this ratio, Harvey and Lamond </w:t>
      </w:r>
      <w:r>
        <w:rPr>
          <w:rFonts w:cs="Arial"/>
        </w:rPr>
        <w:t>write</w:t>
      </w:r>
      <w:r w:rsidRPr="001E0710">
        <w:rPr>
          <w:rFonts w:cs="Arial"/>
        </w:rPr>
        <w:t xml:space="preserve">: </w:t>
      </w:r>
      <w:r>
        <w:rPr>
          <w:rFonts w:cs="Arial"/>
        </w:rPr>
        <w:t>“</w:t>
      </w:r>
      <w:r w:rsidRPr="001E0710">
        <w:rPr>
          <w:rFonts w:cs="Arial"/>
        </w:rPr>
        <w:t>It seems that 40% is some kind of limit beyond which women’s representation in the books pages (and indeed in other cultural spheres) will not go for fear that something – male readers, prestige? – will be lost</w:t>
      </w:r>
      <w:r>
        <w:rPr>
          <w:rFonts w:cs="Arial"/>
        </w:rPr>
        <w:t>”.</w:t>
      </w:r>
      <w:r w:rsidRPr="00715DA1">
        <w:rPr>
          <w:rStyle w:val="FootnoteReference"/>
        </w:rPr>
        <w:footnoteReference w:id="34"/>
      </w:r>
      <w:r w:rsidRPr="001E0710">
        <w:rPr>
          <w:rFonts w:cs="Arial"/>
        </w:rPr>
        <w:t xml:space="preserve"> </w:t>
      </w:r>
      <w:r w:rsidR="001A6652" w:rsidRPr="001E0710">
        <w:rPr>
          <w:rFonts w:cs="Arial"/>
        </w:rPr>
        <w:t xml:space="preserve">Similarly, I conclude that 40% appears to be some kind of limit beyond which women’s representation in Scottish literary sector output will rarely go. It is positive to see some movement towards equity, but this does not change the overall systemic picture: </w:t>
      </w:r>
      <w:r w:rsidR="001A6652" w:rsidRPr="0065313A">
        <w:rPr>
          <w:rStyle w:val="IntenseEmphasis"/>
        </w:rPr>
        <w:t>Scottish literature does not celebrate the work of female authors as much as the work of male authors.</w:t>
      </w:r>
      <w:r w:rsidR="001A6652">
        <w:rPr>
          <w:rStyle w:val="IntenseEmphasis"/>
        </w:rPr>
        <w:t xml:space="preserve"> Non-binary authors are almost completely absent from this dataset.</w:t>
      </w:r>
    </w:p>
    <w:p w14:paraId="2D75E893" w14:textId="77777777" w:rsidR="00F173B5" w:rsidRDefault="00F173B5">
      <w:pPr>
        <w:spacing w:after="0" w:line="240" w:lineRule="auto"/>
        <w:rPr>
          <w:rFonts w:eastAsiaTheme="majorEastAsia" w:cs="Arial"/>
          <w:color w:val="0086A0" w:themeColor="accent1" w:themeShade="BF"/>
          <w:sz w:val="32"/>
          <w:szCs w:val="32"/>
        </w:rPr>
      </w:pPr>
      <w:r>
        <w:rPr>
          <w:rFonts w:cs="Arial"/>
        </w:rPr>
        <w:br w:type="page"/>
      </w:r>
    </w:p>
    <w:p w14:paraId="06BDCF87" w14:textId="13292B7C" w:rsidR="00704C08" w:rsidRPr="001E0710" w:rsidRDefault="00A24363" w:rsidP="00F173B5">
      <w:pPr>
        <w:pStyle w:val="Heading1"/>
        <w:rPr>
          <w:rFonts w:ascii="Arial" w:hAnsi="Arial" w:cs="Arial"/>
        </w:rPr>
      </w:pPr>
      <w:bookmarkStart w:id="37" w:name="_Toc195538156"/>
      <w:r w:rsidRPr="001E0710">
        <w:rPr>
          <w:rFonts w:ascii="Arial" w:hAnsi="Arial" w:cs="Arial"/>
        </w:rPr>
        <w:lastRenderedPageBreak/>
        <w:t>Interviews and Analysis</w:t>
      </w:r>
      <w:bookmarkEnd w:id="37"/>
    </w:p>
    <w:p w14:paraId="3ACF32D4" w14:textId="391A0437" w:rsidR="00704C08" w:rsidRPr="001E0710" w:rsidRDefault="00000000" w:rsidP="00F173B5">
      <w:pPr>
        <w:spacing w:line="360" w:lineRule="auto"/>
        <w:jc w:val="both"/>
        <w:rPr>
          <w:rFonts w:cs="Arial"/>
        </w:rPr>
      </w:pPr>
      <w:r w:rsidRPr="001E0710">
        <w:rPr>
          <w:rFonts w:cs="Arial"/>
        </w:rPr>
        <w:t xml:space="preserve">The </w:t>
      </w:r>
      <w:r w:rsidR="001453A1" w:rsidRPr="001E0710">
        <w:rPr>
          <w:rFonts w:cs="Arial"/>
        </w:rPr>
        <w:t>data</w:t>
      </w:r>
      <w:r w:rsidRPr="001E0710">
        <w:rPr>
          <w:rFonts w:cs="Arial"/>
        </w:rPr>
        <w:t xml:space="preserve"> </w:t>
      </w:r>
      <w:r w:rsidR="00DA7EC8">
        <w:rPr>
          <w:rFonts w:cs="Arial"/>
        </w:rPr>
        <w:t>show</w:t>
      </w:r>
      <w:r w:rsidRPr="001E0710">
        <w:rPr>
          <w:rFonts w:cs="Arial"/>
        </w:rPr>
        <w:t xml:space="preserve"> that the Scottish literary sector is far from equal when it comes to gender</w:t>
      </w:r>
      <w:r w:rsidR="00DA7EC8">
        <w:rPr>
          <w:rFonts w:cs="Arial"/>
        </w:rPr>
        <w:t>, and tha</w:t>
      </w:r>
      <w:r w:rsidRPr="001E0710">
        <w:rPr>
          <w:rFonts w:cs="Arial"/>
        </w:rPr>
        <w:t xml:space="preserve">t </w:t>
      </w:r>
      <w:r w:rsidR="00F928CF">
        <w:rPr>
          <w:rFonts w:cs="Arial"/>
        </w:rPr>
        <w:t>BPOC authors</w:t>
      </w:r>
      <w:r w:rsidRPr="001E0710">
        <w:rPr>
          <w:rFonts w:cs="Arial"/>
        </w:rPr>
        <w:t xml:space="preserve"> are particularly disadvantaged in prizes and in areas of multiple visibility. So why does this imbalance persist?</w:t>
      </w:r>
    </w:p>
    <w:p w14:paraId="39DDBF1D" w14:textId="0AFEC0D8" w:rsidR="00704C08" w:rsidRPr="001E0710" w:rsidRDefault="00DA7EC8" w:rsidP="00F173B5">
      <w:pPr>
        <w:spacing w:line="360" w:lineRule="auto"/>
        <w:ind w:firstLine="720"/>
        <w:jc w:val="both"/>
        <w:rPr>
          <w:rFonts w:cs="Arial"/>
        </w:rPr>
      </w:pPr>
      <w:r>
        <w:rPr>
          <w:rFonts w:cs="Arial"/>
        </w:rPr>
        <w:t>Alongside broader research into the issues being raised, the</w:t>
      </w:r>
      <w:r w:rsidRPr="001E0710">
        <w:rPr>
          <w:rFonts w:cs="Arial"/>
        </w:rPr>
        <w:t xml:space="preserve"> </w:t>
      </w:r>
      <w:r>
        <w:rPr>
          <w:rFonts w:cs="Arial"/>
        </w:rPr>
        <w:t>following section</w:t>
      </w:r>
      <w:r w:rsidRPr="001E0710">
        <w:rPr>
          <w:rFonts w:cs="Arial"/>
        </w:rPr>
        <w:t xml:space="preserve"> of this report present</w:t>
      </w:r>
      <w:r>
        <w:rPr>
          <w:rFonts w:cs="Arial"/>
        </w:rPr>
        <w:t>s</w:t>
      </w:r>
      <w:r w:rsidRPr="001E0710">
        <w:rPr>
          <w:rFonts w:cs="Arial"/>
        </w:rPr>
        <w:t xml:space="preserve"> findings from interviews with tastemakers in the Scottish literary sector</w:t>
      </w:r>
      <w:r>
        <w:rPr>
          <w:rFonts w:cs="Arial"/>
        </w:rPr>
        <w:t>.</w:t>
      </w:r>
      <w:r w:rsidRPr="001E0710">
        <w:rPr>
          <w:rFonts w:cs="Arial"/>
        </w:rPr>
        <w:t xml:space="preserve"> Between 2018-2020, I interviewed publishers, reviewers, prize administrators, festival programmers, and other professionals in positions of influence in the Scottish literary sector. In our interviews, these tastemakers </w:t>
      </w:r>
      <w:r>
        <w:rPr>
          <w:rFonts w:cs="Arial"/>
        </w:rPr>
        <w:t>spoke</w:t>
      </w:r>
      <w:r w:rsidRPr="001E0710">
        <w:rPr>
          <w:rFonts w:cs="Arial"/>
        </w:rPr>
        <w:t xml:space="preserve"> about the central issues for gender equality in writing and publishing. </w:t>
      </w:r>
      <w:r>
        <w:rPr>
          <w:rFonts w:cs="Arial"/>
        </w:rPr>
        <w:t>T</w:t>
      </w:r>
      <w:r w:rsidRPr="001E0710">
        <w:rPr>
          <w:rFonts w:cs="Arial"/>
        </w:rPr>
        <w:t xml:space="preserve">heir assessments show why the inequality we can see in the </w:t>
      </w:r>
      <w:r>
        <w:rPr>
          <w:rFonts w:cs="Arial"/>
        </w:rPr>
        <w:t xml:space="preserve">data </w:t>
      </w:r>
      <w:r w:rsidRPr="001E0710">
        <w:rPr>
          <w:rFonts w:cs="Arial"/>
        </w:rPr>
        <w:t>persists.</w:t>
      </w:r>
      <w:r w:rsidR="00054339" w:rsidRPr="00715DA1">
        <w:rPr>
          <w:rStyle w:val="FootnoteReference"/>
        </w:rPr>
        <w:footnoteReference w:id="35"/>
      </w:r>
    </w:p>
    <w:p w14:paraId="6DF52C6F" w14:textId="77777777" w:rsidR="00704C08" w:rsidRPr="001E0710" w:rsidRDefault="00000000" w:rsidP="001E678E">
      <w:pPr>
        <w:pStyle w:val="Heading2"/>
        <w:rPr>
          <w:rFonts w:cs="Arial"/>
        </w:rPr>
      </w:pPr>
      <w:bookmarkStart w:id="38" w:name="_Toc180580131"/>
      <w:bookmarkStart w:id="39" w:name="_Toc195538157"/>
      <w:r w:rsidRPr="001E0710">
        <w:rPr>
          <w:rFonts w:cs="Arial"/>
        </w:rPr>
        <w:t>Scottish literary canon</w:t>
      </w:r>
      <w:bookmarkEnd w:id="38"/>
      <w:bookmarkEnd w:id="39"/>
    </w:p>
    <w:p w14:paraId="053A3AD0" w14:textId="71B41566" w:rsidR="00704C08" w:rsidRPr="001E0710" w:rsidRDefault="00BD2DF9" w:rsidP="00F173B5">
      <w:pPr>
        <w:spacing w:line="360" w:lineRule="auto"/>
        <w:jc w:val="both"/>
        <w:rPr>
          <w:rFonts w:cs="Arial"/>
          <w:szCs w:val="24"/>
        </w:rPr>
      </w:pPr>
      <w:r w:rsidRPr="001E0710">
        <w:rPr>
          <w:rFonts w:cs="Arial"/>
          <w:szCs w:val="24"/>
        </w:rPr>
        <w:t>Several interviewees discussed the Scottish literary canon and how it shapes taste.</w:t>
      </w:r>
      <w:r w:rsidR="00F173B5">
        <w:rPr>
          <w:rFonts w:cs="Arial"/>
          <w:szCs w:val="24"/>
        </w:rPr>
        <w:t xml:space="preserve"> </w:t>
      </w:r>
      <w:r w:rsidRPr="001E0710">
        <w:rPr>
          <w:rFonts w:cs="Arial"/>
          <w:szCs w:val="24"/>
        </w:rPr>
        <w:t xml:space="preserve">For example, </w:t>
      </w:r>
      <w:r w:rsidR="007F77DF" w:rsidRPr="001E0710">
        <w:rPr>
          <w:rFonts w:cs="Arial"/>
          <w:color w:val="000000" w:themeColor="text1"/>
          <w:szCs w:val="24"/>
        </w:rPr>
        <w:t>Robert, a white male literary critic,</w:t>
      </w:r>
      <w:r w:rsidRPr="001E0710">
        <w:rPr>
          <w:rFonts w:cs="Arial"/>
          <w:color w:val="000000" w:themeColor="text1"/>
          <w:szCs w:val="24"/>
        </w:rPr>
        <w:t xml:space="preserve"> described multiple moments in 20</w:t>
      </w:r>
      <w:r w:rsidRPr="001E0710">
        <w:rPr>
          <w:rFonts w:cs="Arial"/>
          <w:color w:val="000000" w:themeColor="text1"/>
          <w:szCs w:val="24"/>
          <w:vertAlign w:val="superscript"/>
        </w:rPr>
        <w:t>th</w:t>
      </w:r>
      <w:r w:rsidRPr="001E0710">
        <w:rPr>
          <w:rFonts w:cs="Arial"/>
          <w:color w:val="000000" w:themeColor="text1"/>
          <w:szCs w:val="24"/>
        </w:rPr>
        <w:t xml:space="preserve"> century Scottish literature where groups of writers gained popularity, each entirely male with one single woman included: </w:t>
      </w:r>
      <w:r w:rsidR="00DA7EC8">
        <w:rPr>
          <w:rFonts w:cs="Arial"/>
          <w:color w:val="000000" w:themeColor="text1"/>
          <w:szCs w:val="24"/>
        </w:rPr>
        <w:t>“[I]</w:t>
      </w:r>
      <w:r w:rsidRPr="001E0710">
        <w:rPr>
          <w:rFonts w:cs="Arial"/>
          <w:color w:val="000000" w:themeColor="text1"/>
          <w:szCs w:val="24"/>
        </w:rPr>
        <w:t>t was the same with the Chemical Generation … so your [Irvine] Welsh and [Alan] Warner and [Gordon] Legge and all these people, and then you had Laura Hird as the kind of one prominent female writer</w:t>
      </w:r>
      <w:r w:rsidR="00D41088">
        <w:rPr>
          <w:rFonts w:cs="Arial"/>
          <w:color w:val="000000" w:themeColor="text1"/>
          <w:szCs w:val="24"/>
        </w:rPr>
        <w:t>.</w:t>
      </w:r>
      <w:r w:rsidRPr="001E0710">
        <w:rPr>
          <w:rFonts w:cs="Arial"/>
          <w:color w:val="000000" w:themeColor="text1"/>
          <w:szCs w:val="24"/>
        </w:rPr>
        <w:t xml:space="preserve">” </w:t>
      </w:r>
      <w:r w:rsidR="007F77DF" w:rsidRPr="001E0710">
        <w:rPr>
          <w:rFonts w:cs="Arial"/>
          <w:color w:val="000000" w:themeColor="text1"/>
          <w:szCs w:val="24"/>
        </w:rPr>
        <w:t xml:space="preserve">Robert </w:t>
      </w:r>
      <w:r w:rsidRPr="001E0710">
        <w:rPr>
          <w:rFonts w:cs="Arial"/>
          <w:color w:val="000000" w:themeColor="text1"/>
          <w:szCs w:val="24"/>
        </w:rPr>
        <w:t>argued that, despite female writers gaining “a lot of deserved attention” from the 1990s onwards, there was still, a structural inequality in contemporary literature.</w:t>
      </w:r>
    </w:p>
    <w:p w14:paraId="59AAA96D" w14:textId="40CFA6F5" w:rsidR="00704C08" w:rsidRPr="001E0710" w:rsidRDefault="00BD2DF9" w:rsidP="00F173B5">
      <w:pPr>
        <w:spacing w:line="360" w:lineRule="auto"/>
        <w:jc w:val="both"/>
        <w:rPr>
          <w:rFonts w:cs="Arial"/>
          <w:szCs w:val="24"/>
        </w:rPr>
      </w:pPr>
      <w:r w:rsidRPr="001E0710">
        <w:rPr>
          <w:rFonts w:cs="Arial"/>
        </w:rPr>
        <w:tab/>
      </w:r>
      <w:r w:rsidR="00C47EE5" w:rsidRPr="001E0710">
        <w:rPr>
          <w:rFonts w:cs="Arial"/>
          <w:szCs w:val="24"/>
        </w:rPr>
        <w:t>Annabel</w:t>
      </w:r>
      <w:r w:rsidRPr="001E0710">
        <w:rPr>
          <w:rFonts w:cs="Arial"/>
          <w:szCs w:val="24"/>
        </w:rPr>
        <w:t>, a white female publisher, spoke of tastemakers in Scottish literature as holding ideas of this white male Scottish canon in their minds:</w:t>
      </w:r>
    </w:p>
    <w:p w14:paraId="03329D22" w14:textId="366AAADC" w:rsidR="00704C08" w:rsidRPr="001E0710" w:rsidRDefault="00000000" w:rsidP="0024460A">
      <w:pPr>
        <w:pStyle w:val="Quote"/>
      </w:pPr>
      <w:r w:rsidRPr="001E0710">
        <w:t>I think that a lot of people in the position of tastemakers – so that is across the whole strata of cultural commentators, press, events organisers, and publishers themselves – some of them being of a generation where</w:t>
      </w:r>
      <w:r w:rsidR="00054339">
        <w:t xml:space="preserve"> </w:t>
      </w:r>
      <w:r w:rsidR="00054339">
        <w:sym w:font="Symbol" w:char="F05B"/>
      </w:r>
      <w:r w:rsidR="00054339">
        <w:t>there was</w:t>
      </w:r>
      <w:r w:rsidR="00054339">
        <w:sym w:font="Symbol" w:char="F05D"/>
      </w:r>
      <w:r w:rsidRPr="001E0710">
        <w:t xml:space="preserve"> that sort of 90s, drugs, hangovers, rock’n’roll, slightly masculine lifestyle, I think that’s still a prevailing taste in Scotland and its literature, which means that women are sometimes left out because they don’t match up to some of those stereotypical ideas of Scottish urban writing.</w:t>
      </w:r>
    </w:p>
    <w:p w14:paraId="7CC9B12D" w14:textId="789E2373" w:rsidR="00DA7EC8" w:rsidRDefault="00000000" w:rsidP="00F173B5">
      <w:pPr>
        <w:spacing w:line="360" w:lineRule="auto"/>
        <w:jc w:val="both"/>
        <w:rPr>
          <w:rStyle w:val="IntenseEmphasis"/>
        </w:rPr>
      </w:pPr>
      <w:r w:rsidRPr="0065313A">
        <w:rPr>
          <w:rStyle w:val="IntenseEmphasis"/>
        </w:rPr>
        <w:lastRenderedPageBreak/>
        <w:t>If our canon (tastemakers’ tastes, reading lists) is white and male,</w:t>
      </w:r>
      <w:r w:rsidR="0065313A" w:rsidRPr="0065313A">
        <w:rPr>
          <w:rStyle w:val="IntenseEmphasis"/>
        </w:rPr>
        <w:t xml:space="preserve"> this</w:t>
      </w:r>
      <w:r w:rsidRPr="0065313A">
        <w:rPr>
          <w:rStyle w:val="IntenseEmphasis"/>
        </w:rPr>
        <w:t xml:space="preserve"> limits what the publishing industry thinks reader might want</w:t>
      </w:r>
      <w:r w:rsidR="00BD2DF9" w:rsidRPr="0065313A">
        <w:rPr>
          <w:rStyle w:val="IntenseEmphasis"/>
        </w:rPr>
        <w:t xml:space="preserve"> and what it thinks it can publish. In other words, the canon shapes tastemakers’ ideas of risk.</w:t>
      </w:r>
    </w:p>
    <w:p w14:paraId="16B62CBA" w14:textId="77777777" w:rsidR="00DA7EC8" w:rsidRPr="001E0710" w:rsidRDefault="00DA7EC8" w:rsidP="00DA7EC8">
      <w:pPr>
        <w:pStyle w:val="Heading2"/>
        <w:rPr>
          <w:rFonts w:cs="Arial"/>
        </w:rPr>
      </w:pPr>
      <w:bookmarkStart w:id="40" w:name="_Toc180580130"/>
      <w:bookmarkStart w:id="41" w:name="_Toc195538158"/>
      <w:r w:rsidRPr="001E0710">
        <w:rPr>
          <w:rFonts w:cs="Arial"/>
        </w:rPr>
        <w:t>Market idea of risk</w:t>
      </w:r>
      <w:bookmarkEnd w:id="40"/>
      <w:bookmarkEnd w:id="41"/>
    </w:p>
    <w:p w14:paraId="65DE9172" w14:textId="299676DE" w:rsidR="00DA7EC8" w:rsidRPr="001E0710" w:rsidRDefault="00DA7EC8" w:rsidP="00DA7EC8">
      <w:pPr>
        <w:spacing w:line="360" w:lineRule="auto"/>
        <w:jc w:val="both"/>
        <w:rPr>
          <w:rFonts w:cs="Arial"/>
        </w:rPr>
      </w:pPr>
      <w:r w:rsidRPr="001E0710">
        <w:rPr>
          <w:rFonts w:cs="Arial"/>
          <w:szCs w:val="24"/>
        </w:rPr>
        <w:t xml:space="preserve">Publishing is a business, and publishers depend on sales for the continued existence of their businesses. They make decisions based </w:t>
      </w:r>
      <w:r w:rsidR="00054339">
        <w:rPr>
          <w:rFonts w:cs="Arial"/>
          <w:szCs w:val="24"/>
        </w:rPr>
        <w:t xml:space="preserve">on </w:t>
      </w:r>
      <w:r w:rsidRPr="001E0710">
        <w:rPr>
          <w:rFonts w:cs="Arial"/>
          <w:szCs w:val="24"/>
        </w:rPr>
        <w:t>risk: if I spend money developing, editing, designing, printing, and distributing this book, what if it doesn’t sell?</w:t>
      </w:r>
    </w:p>
    <w:p w14:paraId="267EA3E6" w14:textId="71CF0685" w:rsidR="00DA7EC8" w:rsidRPr="001E0710" w:rsidRDefault="00DA7EC8" w:rsidP="00DA7EC8">
      <w:pPr>
        <w:spacing w:line="360" w:lineRule="auto"/>
        <w:ind w:firstLine="720"/>
        <w:jc w:val="both"/>
        <w:rPr>
          <w:rFonts w:cs="Arial"/>
          <w:szCs w:val="24"/>
        </w:rPr>
      </w:pPr>
      <w:r w:rsidRPr="001E0710">
        <w:rPr>
          <w:rFonts w:cs="Arial"/>
          <w:color w:val="000000"/>
          <w:szCs w:val="24"/>
        </w:rPr>
        <w:t xml:space="preserve">Publishers hold databases of readers, </w:t>
      </w:r>
      <w:r>
        <w:rPr>
          <w:rFonts w:cs="Arial"/>
          <w:color w:val="000000"/>
          <w:szCs w:val="24"/>
        </w:rPr>
        <w:t>“</w:t>
      </w:r>
      <w:r w:rsidRPr="001E0710">
        <w:rPr>
          <w:rFonts w:cs="Arial"/>
          <w:color w:val="000000"/>
          <w:szCs w:val="24"/>
        </w:rPr>
        <w:t>containing information on readers’ reading preferences – both personal and book club picks – in addition to age, gender, education level, marital status and number of children living in the home”</w:t>
      </w:r>
      <w:r>
        <w:rPr>
          <w:rFonts w:cs="Arial"/>
          <w:color w:val="000000"/>
          <w:szCs w:val="24"/>
        </w:rPr>
        <w:t>.</w:t>
      </w:r>
      <w:r w:rsidRPr="00715DA1">
        <w:rPr>
          <w:rStyle w:val="FootnoteReference"/>
        </w:rPr>
        <w:footnoteReference w:id="36"/>
      </w:r>
      <w:r w:rsidRPr="001E0710">
        <w:rPr>
          <w:rFonts w:cs="Arial"/>
          <w:color w:val="000000" w:themeColor="text1"/>
          <w:szCs w:val="24"/>
        </w:rPr>
        <w:t xml:space="preserve"> </w:t>
      </w:r>
      <w:r w:rsidRPr="001E0710">
        <w:rPr>
          <w:rFonts w:cs="Arial"/>
          <w:color w:val="000000"/>
          <w:szCs w:val="24"/>
        </w:rPr>
        <w:t xml:space="preserve">However, </w:t>
      </w:r>
      <w:r>
        <w:rPr>
          <w:rFonts w:cs="Arial"/>
          <w:color w:val="000000"/>
          <w:szCs w:val="24"/>
        </w:rPr>
        <w:t xml:space="preserve">the </w:t>
      </w:r>
      <w:r w:rsidRPr="001E0710">
        <w:rPr>
          <w:rFonts w:cs="Arial"/>
          <w:color w:val="000000"/>
          <w:szCs w:val="24"/>
        </w:rPr>
        <w:t xml:space="preserve">2020 </w:t>
      </w:r>
      <w:r w:rsidRPr="0065313A">
        <w:rPr>
          <w:rFonts w:cs="Arial"/>
          <w:i/>
          <w:iCs/>
          <w:color w:val="000000"/>
          <w:szCs w:val="24"/>
        </w:rPr>
        <w:t>Rethinking ‘Diversity’ in Publishing</w:t>
      </w:r>
      <w:r w:rsidRPr="001E0710">
        <w:rPr>
          <w:rFonts w:cs="Arial"/>
          <w:color w:val="000000"/>
          <w:szCs w:val="24"/>
        </w:rPr>
        <w:t xml:space="preserve"> report showed that many publishers see “the core publishing audience” in the UK to be </w:t>
      </w:r>
      <w:r>
        <w:rPr>
          <w:rFonts w:cs="Arial"/>
          <w:color w:val="000000"/>
          <w:szCs w:val="24"/>
        </w:rPr>
        <w:t>“‘</w:t>
      </w:r>
      <w:r w:rsidRPr="001E0710">
        <w:rPr>
          <w:rFonts w:cs="Arial"/>
          <w:color w:val="000000"/>
          <w:szCs w:val="24"/>
        </w:rPr>
        <w:t>a sort of 50-something middle class to upper middle-class white woman who reads a lot because she has time, and she has resources to spend on books’”,</w:t>
      </w:r>
      <w:r w:rsidRPr="00715DA1">
        <w:rPr>
          <w:rStyle w:val="FootnoteReference"/>
        </w:rPr>
        <w:footnoteReference w:id="37"/>
      </w:r>
      <w:r w:rsidRPr="001E0710">
        <w:rPr>
          <w:rFonts w:cs="Arial"/>
          <w:color w:val="000000" w:themeColor="text1"/>
          <w:szCs w:val="24"/>
        </w:rPr>
        <w:t xml:space="preserve"> quoting a respondent who worked in sales.</w:t>
      </w:r>
      <w:r w:rsidRPr="001E0710">
        <w:rPr>
          <w:rFonts w:cs="Arial"/>
          <w:szCs w:val="24"/>
        </w:rPr>
        <w:t xml:space="preserve"> </w:t>
      </w:r>
      <w:r w:rsidRPr="001E0710">
        <w:rPr>
          <w:rFonts w:cs="Arial"/>
          <w:color w:val="000000"/>
          <w:szCs w:val="24"/>
        </w:rPr>
        <w:t>Many publishers make decisions based on what their “imagined” reader wants, but that assumption doesn’t represent the breadth of the UK reading market.</w:t>
      </w:r>
    </w:p>
    <w:p w14:paraId="02551FEB" w14:textId="56373C54" w:rsidR="00DA7EC8" w:rsidRPr="00DA7EC8" w:rsidRDefault="00DA7EC8" w:rsidP="00DA7EC8">
      <w:pPr>
        <w:spacing w:line="360" w:lineRule="auto"/>
        <w:ind w:firstLine="720"/>
        <w:jc w:val="both"/>
        <w:rPr>
          <w:rFonts w:cs="Arial"/>
          <w:color w:val="000000" w:themeColor="text1"/>
          <w:szCs w:val="24"/>
        </w:rPr>
      </w:pPr>
      <w:r w:rsidRPr="001E0710">
        <w:rPr>
          <w:rFonts w:cs="Arial"/>
          <w:szCs w:val="24"/>
        </w:rPr>
        <w:t>These assumptions limit the books published by women and gender minorities.</w:t>
      </w:r>
      <w:r w:rsidRPr="00715DA1">
        <w:rPr>
          <w:rStyle w:val="FootnoteReference"/>
        </w:rPr>
        <w:footnoteReference w:id="38"/>
      </w:r>
      <w:r w:rsidRPr="001E0710">
        <w:rPr>
          <w:rFonts w:cs="Arial"/>
          <w:szCs w:val="24"/>
        </w:rPr>
        <w:t xml:space="preserve"> </w:t>
      </w:r>
      <w:r w:rsidRPr="001E0710">
        <w:rPr>
          <w:rFonts w:cs="Arial"/>
          <w:color w:val="000000" w:themeColor="text1"/>
          <w:szCs w:val="24"/>
        </w:rPr>
        <w:t xml:space="preserve">Daniela, a white female owner of an independent bookshop, spoke about the market devaluing women’s writing, saying that, in her experience from publisher’s catalogues, “[women’s books are] being sold as less valuable, or less valuable in terms of literary content, across any subject”. </w:t>
      </w:r>
      <w:r>
        <w:rPr>
          <w:rFonts w:cs="Arial"/>
          <w:szCs w:val="24"/>
        </w:rPr>
        <w:t>Similarly, w</w:t>
      </w:r>
      <w:r w:rsidRPr="001E0710">
        <w:rPr>
          <w:rFonts w:cs="Arial"/>
          <w:szCs w:val="24"/>
        </w:rPr>
        <w:t xml:space="preserve">riting by </w:t>
      </w:r>
      <w:r>
        <w:rPr>
          <w:rFonts w:cs="Arial"/>
          <w:szCs w:val="24"/>
        </w:rPr>
        <w:t>trans people is</w:t>
      </w:r>
      <w:r w:rsidRPr="001E0710">
        <w:rPr>
          <w:rFonts w:cs="Arial"/>
          <w:szCs w:val="24"/>
        </w:rPr>
        <w:t xml:space="preserve"> limited</w:t>
      </w:r>
      <w:r w:rsidRPr="001E0710">
        <w:rPr>
          <w:rStyle w:val="s8"/>
          <w:rFonts w:cs="Arial"/>
          <w:color w:val="141414"/>
          <w:szCs w:val="24"/>
        </w:rPr>
        <w:t xml:space="preserve"> by the market,</w:t>
      </w:r>
      <w:r>
        <w:rPr>
          <w:rStyle w:val="apple-converted-space"/>
          <w:rFonts w:cs="Arial"/>
          <w:color w:val="141414"/>
          <w:szCs w:val="24"/>
        </w:rPr>
        <w:t xml:space="preserve"> </w:t>
      </w:r>
      <w:r w:rsidRPr="001E0710">
        <w:rPr>
          <w:rStyle w:val="s8"/>
          <w:rFonts w:cs="Arial"/>
          <w:color w:val="141414"/>
          <w:szCs w:val="24"/>
        </w:rPr>
        <w:t>with opportunities offered to trans people “only insofar as they can be forced” to fit in “[...] before pushing them back out”</w:t>
      </w:r>
      <w:r>
        <w:rPr>
          <w:rStyle w:val="s8"/>
          <w:rFonts w:cs="Arial"/>
          <w:color w:val="141414"/>
          <w:szCs w:val="24"/>
        </w:rPr>
        <w:t>.</w:t>
      </w:r>
      <w:r w:rsidRPr="00715DA1">
        <w:rPr>
          <w:rStyle w:val="FootnoteReference"/>
        </w:rPr>
        <w:footnoteReference w:id="39"/>
      </w:r>
    </w:p>
    <w:p w14:paraId="2C79D2D1" w14:textId="354CBF06" w:rsidR="00704C08" w:rsidRPr="001E0710" w:rsidRDefault="00367335" w:rsidP="00A2121A">
      <w:pPr>
        <w:pStyle w:val="Heading2"/>
        <w:rPr>
          <w:rFonts w:cs="Arial"/>
        </w:rPr>
      </w:pPr>
      <w:bookmarkStart w:id="42" w:name="_Toc180580132"/>
      <w:bookmarkStart w:id="43" w:name="_Toc195538159"/>
      <w:r w:rsidRPr="001E0710">
        <w:rPr>
          <w:rFonts w:cs="Arial"/>
        </w:rPr>
        <w:t>Financial relationships</w:t>
      </w:r>
      <w:bookmarkEnd w:id="42"/>
      <w:bookmarkEnd w:id="43"/>
    </w:p>
    <w:p w14:paraId="569E1C4F" w14:textId="23B214BA" w:rsidR="00DC75FC" w:rsidRDefault="0047624B" w:rsidP="0024460A">
      <w:pPr>
        <w:spacing w:line="360" w:lineRule="auto"/>
        <w:jc w:val="both"/>
        <w:rPr>
          <w:rFonts w:cs="Arial"/>
        </w:rPr>
      </w:pPr>
      <w:r>
        <w:rPr>
          <w:rFonts w:cs="Arial"/>
        </w:rPr>
        <w:t>#PublishingPaidMe</w:t>
      </w:r>
      <w:r w:rsidR="00A62D47" w:rsidRPr="001E0710">
        <w:rPr>
          <w:rFonts w:cs="Arial"/>
        </w:rPr>
        <w:t xml:space="preserve">, </w:t>
      </w:r>
      <w:r>
        <w:rPr>
          <w:rFonts w:cs="Arial"/>
        </w:rPr>
        <w:t xml:space="preserve">a hashtag started by LL McKinney which collected </w:t>
      </w:r>
      <w:r w:rsidR="00054339">
        <w:rPr>
          <w:rFonts w:cs="Arial"/>
        </w:rPr>
        <w:t xml:space="preserve">data on </w:t>
      </w:r>
      <w:r w:rsidR="00BD2DF9" w:rsidRPr="001E0710">
        <w:rPr>
          <w:rFonts w:cs="Arial"/>
        </w:rPr>
        <w:t>advance payments received by authors</w:t>
      </w:r>
      <w:r w:rsidRPr="00715DA1">
        <w:rPr>
          <w:rStyle w:val="FootnoteReference"/>
        </w:rPr>
        <w:footnoteReference w:id="40"/>
      </w:r>
      <w:r w:rsidR="00DC75FC">
        <w:rPr>
          <w:rFonts w:cs="Arial"/>
        </w:rPr>
        <w:t xml:space="preserve"> showed that these payments are often </w:t>
      </w:r>
      <w:r w:rsidR="00DC75FC">
        <w:rPr>
          <w:rFonts w:cs="Arial"/>
        </w:rPr>
        <w:lastRenderedPageBreak/>
        <w:t>skewed by ethnicity and gender.</w:t>
      </w:r>
      <w:r w:rsidR="00A62D47" w:rsidRPr="001E0710">
        <w:rPr>
          <w:rFonts w:cs="Arial"/>
        </w:rPr>
        <w:t xml:space="preserve"> </w:t>
      </w:r>
      <w:r w:rsidR="00EB1F7F" w:rsidRPr="001E0710">
        <w:rPr>
          <w:rFonts w:cs="Arial"/>
        </w:rPr>
        <w:t xml:space="preserve">A high </w:t>
      </w:r>
      <w:r w:rsidR="00A62D47" w:rsidRPr="001E0710">
        <w:rPr>
          <w:rFonts w:cs="Arial"/>
        </w:rPr>
        <w:t xml:space="preserve">advance payment </w:t>
      </w:r>
      <w:r w:rsidR="00EB1F7F" w:rsidRPr="001E0710">
        <w:rPr>
          <w:rFonts w:cs="Arial"/>
        </w:rPr>
        <w:t>is an</w:t>
      </w:r>
      <w:r w:rsidR="00A62D47" w:rsidRPr="001E0710">
        <w:rPr>
          <w:rFonts w:cs="Arial"/>
        </w:rPr>
        <w:t xml:space="preserve"> investment made by a publisher, </w:t>
      </w:r>
      <w:r w:rsidR="00EB1F7F" w:rsidRPr="001E0710">
        <w:rPr>
          <w:rFonts w:cs="Arial"/>
        </w:rPr>
        <w:t>and</w:t>
      </w:r>
      <w:r w:rsidR="00A62D47" w:rsidRPr="001E0710">
        <w:rPr>
          <w:rFonts w:cs="Arial"/>
        </w:rPr>
        <w:t xml:space="preserve"> indicates</w:t>
      </w:r>
      <w:r w:rsidR="00EB1F7F" w:rsidRPr="001E0710">
        <w:rPr>
          <w:rFonts w:cs="Arial"/>
        </w:rPr>
        <w:t xml:space="preserve"> that the publisher is more likely to spend </w:t>
      </w:r>
      <w:r w:rsidR="00054339">
        <w:rPr>
          <w:rFonts w:cs="Arial"/>
        </w:rPr>
        <w:t xml:space="preserve">more </w:t>
      </w:r>
      <w:r w:rsidR="00EB1F7F" w:rsidRPr="001E0710">
        <w:rPr>
          <w:rFonts w:cs="Arial"/>
        </w:rPr>
        <w:t>on marketing</w:t>
      </w:r>
      <w:r w:rsidR="00DC75FC">
        <w:rPr>
          <w:rFonts w:cs="Arial"/>
        </w:rPr>
        <w:t>/promotion</w:t>
      </w:r>
      <w:r w:rsidR="00EB1F7F" w:rsidRPr="001E0710">
        <w:rPr>
          <w:rFonts w:cs="Arial"/>
        </w:rPr>
        <w:t xml:space="preserve"> in the future to profit from this investment</w:t>
      </w:r>
      <w:r w:rsidR="00BD2DF9" w:rsidRPr="001E0710">
        <w:rPr>
          <w:rFonts w:cs="Arial"/>
        </w:rPr>
        <w:t>.</w:t>
      </w:r>
      <w:r w:rsidR="00DC75FC">
        <w:rPr>
          <w:rFonts w:cs="Arial"/>
        </w:rPr>
        <w:t xml:space="preserve"> Marketing/promotion can include travel to readings, signings or festival events.</w:t>
      </w:r>
    </w:p>
    <w:p w14:paraId="0DD844F6" w14:textId="42410218" w:rsidR="00704C08" w:rsidRPr="001E0710" w:rsidRDefault="001D09B7" w:rsidP="00DC75FC">
      <w:pPr>
        <w:spacing w:line="360" w:lineRule="auto"/>
        <w:ind w:firstLine="720"/>
        <w:jc w:val="both"/>
        <w:rPr>
          <w:rFonts w:cs="Arial"/>
        </w:rPr>
      </w:pPr>
      <w:r w:rsidRPr="001E0710">
        <w:rPr>
          <w:rFonts w:cs="Arial"/>
          <w:color w:val="000000" w:themeColor="text1"/>
        </w:rPr>
        <w:t xml:space="preserve">Dean, a white </w:t>
      </w:r>
      <w:r w:rsidR="00266028">
        <w:rPr>
          <w:rFonts w:cs="Arial"/>
          <w:color w:val="000000" w:themeColor="text1"/>
        </w:rPr>
        <w:t>literary</w:t>
      </w:r>
      <w:r w:rsidRPr="001E0710">
        <w:rPr>
          <w:rFonts w:cs="Arial"/>
          <w:color w:val="000000" w:themeColor="text1"/>
        </w:rPr>
        <w:t xml:space="preserve"> festival director, </w:t>
      </w:r>
      <w:r w:rsidR="00BD2DF9" w:rsidRPr="001E0710">
        <w:rPr>
          <w:rFonts w:cs="Arial"/>
          <w:color w:val="000000" w:themeColor="text1"/>
        </w:rPr>
        <w:t>underlined that the financial contribution of publishers</w:t>
      </w:r>
      <w:r w:rsidR="00DC75FC">
        <w:rPr>
          <w:rFonts w:cs="Arial"/>
          <w:color w:val="000000" w:themeColor="text1"/>
        </w:rPr>
        <w:t xml:space="preserve"> </w:t>
      </w:r>
      <w:r w:rsidR="00BD2DF9" w:rsidRPr="001E0710">
        <w:rPr>
          <w:rFonts w:cs="Arial"/>
          <w:color w:val="000000" w:themeColor="text1"/>
        </w:rPr>
        <w:t xml:space="preserve">is essential, stressing that </w:t>
      </w:r>
      <w:r w:rsidRPr="001E0710">
        <w:rPr>
          <w:rFonts w:cs="Arial"/>
          <w:color w:val="000000" w:themeColor="text1"/>
        </w:rPr>
        <w:t xml:space="preserve">his festival </w:t>
      </w:r>
      <w:r w:rsidR="00BD2DF9" w:rsidRPr="001E0710">
        <w:rPr>
          <w:rFonts w:cs="Arial"/>
          <w:color w:val="000000" w:themeColor="text1"/>
        </w:rPr>
        <w:t>would not be possible without it: “</w:t>
      </w:r>
      <w:r w:rsidR="00D41088">
        <w:rPr>
          <w:rFonts w:cs="Arial"/>
          <w:color w:val="000000" w:themeColor="text1"/>
        </w:rPr>
        <w:t>I</w:t>
      </w:r>
      <w:r w:rsidR="00BD2DF9" w:rsidRPr="001E0710">
        <w:rPr>
          <w:rFonts w:cs="Arial"/>
          <w:color w:val="000000" w:themeColor="text1"/>
        </w:rPr>
        <w:t>f we didn't have the support of publishers in helping us with the lion's share of the travel costs it wouldn't be possible for us to do the festival</w:t>
      </w:r>
      <w:r w:rsidR="00D41088">
        <w:rPr>
          <w:rFonts w:cs="Arial"/>
          <w:color w:val="000000" w:themeColor="text1"/>
        </w:rPr>
        <w:t>.</w:t>
      </w:r>
      <w:r w:rsidR="00BD2DF9" w:rsidRPr="001E0710">
        <w:rPr>
          <w:rFonts w:cs="Arial"/>
          <w:color w:val="000000" w:themeColor="text1"/>
        </w:rPr>
        <w:t>”</w:t>
      </w:r>
      <w:r w:rsidR="00BD2DF9" w:rsidRPr="001E0710">
        <w:rPr>
          <w:rFonts w:cs="Arial"/>
        </w:rPr>
        <w:t xml:space="preserve"> </w:t>
      </w:r>
      <w:r w:rsidR="00BD2DF9" w:rsidRPr="001E0710">
        <w:rPr>
          <w:rFonts w:cs="Arial"/>
          <w:color w:val="000000" w:themeColor="text1"/>
        </w:rPr>
        <w:t xml:space="preserve">This financial relationship </w:t>
      </w:r>
      <w:r w:rsidR="00EB1F7F" w:rsidRPr="001E0710">
        <w:rPr>
          <w:rFonts w:cs="Arial"/>
          <w:color w:val="000000" w:themeColor="text1"/>
        </w:rPr>
        <w:t>has an impact on festival programming</w:t>
      </w:r>
      <w:r w:rsidR="00BD2DF9" w:rsidRPr="001E0710">
        <w:rPr>
          <w:rFonts w:cs="Arial"/>
          <w:color w:val="000000" w:themeColor="text1"/>
        </w:rPr>
        <w:t>: “</w:t>
      </w:r>
      <w:r w:rsidR="00D41088">
        <w:rPr>
          <w:rFonts w:cs="Arial"/>
          <w:color w:val="000000" w:themeColor="text1"/>
        </w:rPr>
        <w:t>T</w:t>
      </w:r>
      <w:r w:rsidR="00BD2DF9" w:rsidRPr="001E0710">
        <w:rPr>
          <w:rFonts w:cs="Arial"/>
          <w:color w:val="000000" w:themeColor="text1"/>
        </w:rPr>
        <w:t>o some extent we have to listen to publishers about their ideas about who they would like us to invite</w:t>
      </w:r>
      <w:r w:rsidR="00D41088">
        <w:rPr>
          <w:rFonts w:cs="Arial"/>
          <w:color w:val="000000" w:themeColor="text1"/>
        </w:rPr>
        <w:t>.</w:t>
      </w:r>
      <w:r w:rsidR="00BD2DF9" w:rsidRPr="001E0710">
        <w:rPr>
          <w:rFonts w:cs="Arial"/>
          <w:color w:val="000000" w:themeColor="text1"/>
        </w:rPr>
        <w:t xml:space="preserve">” </w:t>
      </w:r>
      <w:r w:rsidRPr="001E0710">
        <w:rPr>
          <w:rFonts w:cs="Arial"/>
          <w:color w:val="000000" w:themeColor="text1"/>
        </w:rPr>
        <w:t xml:space="preserve">Dean </w:t>
      </w:r>
      <w:r w:rsidR="00BD2DF9" w:rsidRPr="001E0710">
        <w:rPr>
          <w:rFonts w:cs="Arial"/>
          <w:color w:val="000000" w:themeColor="text1"/>
        </w:rPr>
        <w:t xml:space="preserve">continues, further underlining </w:t>
      </w:r>
      <w:r w:rsidR="00EB1F7F" w:rsidRPr="001E0710">
        <w:rPr>
          <w:rFonts w:cs="Arial"/>
          <w:color w:val="000000" w:themeColor="text1"/>
        </w:rPr>
        <w:t>this powerful role</w:t>
      </w:r>
      <w:r w:rsidR="00BD2DF9" w:rsidRPr="001E0710">
        <w:rPr>
          <w:rFonts w:cs="Arial"/>
          <w:color w:val="000000" w:themeColor="text1"/>
        </w:rPr>
        <w:t>:</w:t>
      </w:r>
    </w:p>
    <w:p w14:paraId="3CDA54F4" w14:textId="350F7C3A" w:rsidR="00704C08" w:rsidRPr="0024460A" w:rsidRDefault="00000000" w:rsidP="0024460A">
      <w:pPr>
        <w:pStyle w:val="Quote"/>
      </w:pPr>
      <w:r w:rsidRPr="0024460A">
        <w:t>Because the forces which feed into who will be in the festival programme are more complicated than me simply saying 'I want x, y and z writer and I will invite them, and they will come, and they will be in the programme'. Because the truth is that we will agree with publishers, yes, let's, you'd be able to pay for x writer to come from America, but you will not pay for y writer to come from America</w:t>
      </w:r>
      <w:r w:rsidR="00EB1F7F" w:rsidRPr="0024460A">
        <w:t>. S</w:t>
      </w:r>
      <w:r w:rsidRPr="0024460A">
        <w:t xml:space="preserve">o we will invite x writer, and if she says no, it will be a shame and we'll have to go somewhere else. Whether or not writer number x is in the programme isn't only about whether I want her in the programme. </w:t>
      </w:r>
    </w:p>
    <w:p w14:paraId="6617396A" w14:textId="21070AC6" w:rsidR="0024460A" w:rsidRPr="0065313A" w:rsidRDefault="00DC75FC" w:rsidP="0024460A">
      <w:pPr>
        <w:spacing w:line="360" w:lineRule="auto"/>
        <w:jc w:val="both"/>
        <w:rPr>
          <w:rStyle w:val="IntenseEmphasis"/>
        </w:rPr>
      </w:pPr>
      <w:r>
        <w:rPr>
          <w:rFonts w:cs="Arial"/>
          <w:color w:val="000000" w:themeColor="text1"/>
        </w:rPr>
        <w:t>Other i</w:t>
      </w:r>
      <w:r w:rsidR="00EB1F7F" w:rsidRPr="001E0710">
        <w:rPr>
          <w:rFonts w:cs="Arial"/>
          <w:color w:val="000000" w:themeColor="text1"/>
        </w:rPr>
        <w:t xml:space="preserve">nterviewees in this project </w:t>
      </w:r>
      <w:r>
        <w:rPr>
          <w:rFonts w:cs="Arial"/>
          <w:color w:val="000000" w:themeColor="text1"/>
        </w:rPr>
        <w:t>also</w:t>
      </w:r>
      <w:r w:rsidR="00EB1F7F" w:rsidRPr="001E0710">
        <w:rPr>
          <w:rFonts w:cs="Arial"/>
          <w:color w:val="000000" w:themeColor="text1"/>
        </w:rPr>
        <w:t xml:space="preserve"> spoke about these financial relationships as a reason for continued gender imbalance. </w:t>
      </w:r>
      <w:r w:rsidR="00EB1F7F" w:rsidRPr="0065313A">
        <w:rPr>
          <w:rStyle w:val="IntenseEmphasis"/>
        </w:rPr>
        <w:t>Tastemakers felt they lacked complete agency and editorial control because of the complex network of market relationships between publishers, reviewers, festival programmers and prize judges.</w:t>
      </w:r>
    </w:p>
    <w:p w14:paraId="2F58AF6A" w14:textId="01D1E211" w:rsidR="00704C08" w:rsidRPr="0024460A" w:rsidRDefault="00EB1F7F" w:rsidP="0024460A">
      <w:pPr>
        <w:spacing w:line="360" w:lineRule="auto"/>
        <w:ind w:firstLine="720"/>
        <w:jc w:val="both"/>
        <w:rPr>
          <w:rFonts w:cs="Arial"/>
          <w:color w:val="000000" w:themeColor="text1"/>
        </w:rPr>
      </w:pPr>
      <w:r w:rsidRPr="001E0710">
        <w:rPr>
          <w:rFonts w:cs="Arial"/>
        </w:rPr>
        <w:t>As discussed above, the market constrains women and gender minority authors. Their agency is then limited</w:t>
      </w:r>
      <w:r w:rsidR="00B51A8E" w:rsidRPr="001E0710">
        <w:rPr>
          <w:rFonts w:cs="Arial"/>
        </w:rPr>
        <w:t xml:space="preserve"> </w:t>
      </w:r>
      <w:r w:rsidRPr="001E0710">
        <w:rPr>
          <w:rFonts w:cs="Arial"/>
        </w:rPr>
        <w:t xml:space="preserve">further still </w:t>
      </w:r>
      <w:r w:rsidR="00B51A8E" w:rsidRPr="001E0710">
        <w:rPr>
          <w:rFonts w:cs="Arial"/>
        </w:rPr>
        <w:t>by</w:t>
      </w:r>
      <w:r w:rsidRPr="001E0710">
        <w:rPr>
          <w:rFonts w:cs="Arial"/>
          <w:szCs w:val="24"/>
        </w:rPr>
        <w:t xml:space="preserve"> workplace </w:t>
      </w:r>
      <w:r w:rsidR="00B51A8E" w:rsidRPr="001E0710">
        <w:rPr>
          <w:rFonts w:cs="Arial"/>
          <w:szCs w:val="24"/>
        </w:rPr>
        <w:t>discrimination</w:t>
      </w:r>
      <w:r w:rsidRPr="001E0710">
        <w:rPr>
          <w:rFonts w:cs="Arial"/>
          <w:szCs w:val="24"/>
        </w:rPr>
        <w:t xml:space="preserve"> and by devaluing women’s writing. </w:t>
      </w:r>
    </w:p>
    <w:p w14:paraId="784E4B73" w14:textId="77777777" w:rsidR="00704C08" w:rsidRPr="001E0710" w:rsidRDefault="00000000" w:rsidP="001E678E">
      <w:pPr>
        <w:pStyle w:val="Heading2"/>
        <w:rPr>
          <w:rFonts w:cs="Arial"/>
        </w:rPr>
      </w:pPr>
      <w:bookmarkStart w:id="44" w:name="_Toc180580134"/>
      <w:bookmarkStart w:id="45" w:name="_Toc195538160"/>
      <w:r w:rsidRPr="001E0710">
        <w:rPr>
          <w:rFonts w:cs="Arial"/>
        </w:rPr>
        <w:t>Gender discrimination in the workplace</w:t>
      </w:r>
      <w:bookmarkEnd w:id="44"/>
      <w:bookmarkEnd w:id="45"/>
    </w:p>
    <w:p w14:paraId="2C203056" w14:textId="011CFC21" w:rsidR="0024460A" w:rsidRDefault="00DC75FC" w:rsidP="0024460A">
      <w:pPr>
        <w:spacing w:line="360" w:lineRule="auto"/>
        <w:jc w:val="both"/>
        <w:rPr>
          <w:rFonts w:cs="Arial"/>
          <w:szCs w:val="24"/>
        </w:rPr>
      </w:pPr>
      <w:r>
        <w:rPr>
          <w:rFonts w:cs="Arial"/>
          <w:szCs w:val="24"/>
        </w:rPr>
        <w:t>While my project was not specifically about gender-based discrimination and harassment in the sector, m</w:t>
      </w:r>
      <w:r w:rsidR="00EB1F7F" w:rsidRPr="001E0710">
        <w:rPr>
          <w:rFonts w:cs="Arial"/>
          <w:szCs w:val="24"/>
        </w:rPr>
        <w:t xml:space="preserve">any </w:t>
      </w:r>
      <w:r>
        <w:rPr>
          <w:rFonts w:cs="Arial"/>
          <w:szCs w:val="24"/>
        </w:rPr>
        <w:t>interviewees</w:t>
      </w:r>
      <w:r w:rsidR="00EB1F7F" w:rsidRPr="001E0710">
        <w:rPr>
          <w:rFonts w:cs="Arial"/>
          <w:szCs w:val="24"/>
        </w:rPr>
        <w:t xml:space="preserve"> </w:t>
      </w:r>
      <w:r>
        <w:rPr>
          <w:rFonts w:cs="Arial"/>
          <w:szCs w:val="24"/>
        </w:rPr>
        <w:t>chose to</w:t>
      </w:r>
      <w:r w:rsidR="00EB1F7F" w:rsidRPr="001E0710">
        <w:rPr>
          <w:rFonts w:cs="Arial"/>
          <w:szCs w:val="24"/>
        </w:rPr>
        <w:t xml:space="preserve"> share </w:t>
      </w:r>
      <w:r>
        <w:rPr>
          <w:rFonts w:cs="Arial"/>
          <w:szCs w:val="24"/>
        </w:rPr>
        <w:t xml:space="preserve">their own lived </w:t>
      </w:r>
      <w:r w:rsidR="00EB1F7F" w:rsidRPr="001E0710">
        <w:rPr>
          <w:rFonts w:cs="Arial"/>
          <w:szCs w:val="24"/>
        </w:rPr>
        <w:t>experiences</w:t>
      </w:r>
      <w:r>
        <w:rPr>
          <w:rFonts w:cs="Arial"/>
          <w:szCs w:val="24"/>
        </w:rPr>
        <w:t xml:space="preserve"> </w:t>
      </w:r>
      <w:r w:rsidR="00EB1F7F" w:rsidRPr="001E0710">
        <w:rPr>
          <w:rFonts w:cs="Arial"/>
          <w:szCs w:val="24"/>
        </w:rPr>
        <w:t>as part of talking about systemic inequality</w:t>
      </w:r>
      <w:r>
        <w:rPr>
          <w:rFonts w:cs="Arial"/>
          <w:szCs w:val="24"/>
        </w:rPr>
        <w:t>.</w:t>
      </w:r>
    </w:p>
    <w:p w14:paraId="25FF0C97" w14:textId="3891CF17" w:rsidR="00704C08" w:rsidRPr="001E0710" w:rsidRDefault="00EB1F7F" w:rsidP="0024460A">
      <w:pPr>
        <w:spacing w:line="360" w:lineRule="auto"/>
        <w:ind w:firstLine="720"/>
        <w:jc w:val="both"/>
        <w:rPr>
          <w:rFonts w:cs="Arial"/>
          <w:szCs w:val="24"/>
        </w:rPr>
      </w:pPr>
      <w:r w:rsidRPr="001E0710">
        <w:rPr>
          <w:rFonts w:cs="Arial"/>
          <w:szCs w:val="24"/>
          <w:lang w:eastAsia="en-GB"/>
        </w:rPr>
        <w:lastRenderedPageBreak/>
        <w:t xml:space="preserve">Women make up 87.3% of workers in the </w:t>
      </w:r>
      <w:r w:rsidR="0024460A">
        <w:rPr>
          <w:rFonts w:cs="Arial"/>
          <w:szCs w:val="24"/>
          <w:lang w:eastAsia="en-GB"/>
        </w:rPr>
        <w:t xml:space="preserve">UK </w:t>
      </w:r>
      <w:r w:rsidRPr="001E0710">
        <w:rPr>
          <w:rFonts w:cs="Arial"/>
          <w:szCs w:val="24"/>
          <w:lang w:eastAsia="en-GB"/>
        </w:rPr>
        <w:t>literary sector</w:t>
      </w:r>
      <w:r w:rsidR="00684D21" w:rsidRPr="00715DA1">
        <w:rPr>
          <w:rStyle w:val="FootnoteReference"/>
        </w:rPr>
        <w:footnoteReference w:id="41"/>
      </w:r>
      <w:r w:rsidRPr="001E0710">
        <w:rPr>
          <w:rFonts w:cs="Arial"/>
          <w:szCs w:val="24"/>
          <w:lang w:eastAsia="en-GB"/>
        </w:rPr>
        <w:t>. However, there is a persistent 15% wage gap between women and men, which BookCareers writes is due to more men working in highly-paid senior roles</w:t>
      </w:r>
      <w:r w:rsidR="00703281" w:rsidRPr="001E0710">
        <w:rPr>
          <w:rFonts w:cs="Arial"/>
          <w:szCs w:val="24"/>
          <w:lang w:eastAsia="en-GB"/>
        </w:rPr>
        <w:t>.</w:t>
      </w:r>
      <w:r w:rsidR="00703281" w:rsidRPr="00715DA1">
        <w:rPr>
          <w:rStyle w:val="FootnoteReference"/>
        </w:rPr>
        <w:footnoteReference w:id="42"/>
      </w:r>
      <w:r w:rsidRPr="001E0710">
        <w:rPr>
          <w:rFonts w:cs="Arial"/>
          <w:szCs w:val="24"/>
          <w:lang w:eastAsia="en-GB"/>
        </w:rPr>
        <w:t xml:space="preserve"> This structural and material inequality is the background to reports of harassment and discrimination.</w:t>
      </w:r>
    </w:p>
    <w:p w14:paraId="4492C59C" w14:textId="22FE61FE" w:rsidR="00704C08" w:rsidRPr="001E0710" w:rsidRDefault="00000000" w:rsidP="0024460A">
      <w:pPr>
        <w:spacing w:line="360" w:lineRule="auto"/>
        <w:ind w:firstLine="720"/>
        <w:jc w:val="both"/>
        <w:rPr>
          <w:rFonts w:cs="Arial"/>
          <w:color w:val="000000" w:themeColor="text1"/>
          <w:szCs w:val="24"/>
        </w:rPr>
      </w:pPr>
      <w:r w:rsidRPr="001E0710">
        <w:rPr>
          <w:rFonts w:cs="Arial"/>
          <w:szCs w:val="24"/>
        </w:rPr>
        <w:t>Two interviewees disclosed experiences of harassment and intimidation</w:t>
      </w:r>
      <w:r w:rsidR="00D41088">
        <w:rPr>
          <w:rFonts w:cs="Arial"/>
          <w:szCs w:val="24"/>
        </w:rPr>
        <w:t>.</w:t>
      </w:r>
      <w:r w:rsidRPr="001E0710">
        <w:rPr>
          <w:rFonts w:cs="Arial"/>
          <w:szCs w:val="24"/>
        </w:rPr>
        <w:t xml:space="preserve"> </w:t>
      </w:r>
      <w:r w:rsidR="00C47EE5" w:rsidRPr="001E0710">
        <w:rPr>
          <w:rFonts w:cs="Arial"/>
          <w:color w:val="000000" w:themeColor="text1"/>
          <w:szCs w:val="24"/>
        </w:rPr>
        <w:t xml:space="preserve">Annabel, a white female publisher, </w:t>
      </w:r>
      <w:r w:rsidRPr="001E0710">
        <w:rPr>
          <w:rFonts w:cs="Arial"/>
          <w:color w:val="000000" w:themeColor="text1"/>
          <w:szCs w:val="24"/>
        </w:rPr>
        <w:t xml:space="preserve">had received “intimidating approaches from male authors” which were so aggressive they made her scared to answer the door of the publishing house where she worked. </w:t>
      </w:r>
      <w:r w:rsidRPr="001E0710">
        <w:rPr>
          <w:rFonts w:cs="Arial"/>
          <w:color w:val="000000"/>
          <w:szCs w:val="24"/>
        </w:rPr>
        <w:t>She reflected on these authors’ frustration and anger: “I thought it was interesting that they often singled me as a female employee</w:t>
      </w:r>
      <w:r w:rsidR="00EB1F7F" w:rsidRPr="001E0710">
        <w:rPr>
          <w:rStyle w:val="apple-converted-space"/>
          <w:rFonts w:cs="Arial"/>
          <w:color w:val="000000"/>
          <w:szCs w:val="24"/>
        </w:rPr>
        <w:t xml:space="preserve"> </w:t>
      </w:r>
      <w:r w:rsidRPr="001E0710">
        <w:rPr>
          <w:rFonts w:cs="Arial"/>
          <w:color w:val="000000" w:themeColor="text1"/>
          <w:szCs w:val="24"/>
        </w:rPr>
        <w:t>[out] as the reason why they weren't receiving what they saw as their due</w:t>
      </w:r>
      <w:r w:rsidR="00D41088">
        <w:rPr>
          <w:rFonts w:cs="Arial"/>
          <w:color w:val="000000" w:themeColor="text1"/>
          <w:szCs w:val="24"/>
        </w:rPr>
        <w:t>.</w:t>
      </w:r>
      <w:r w:rsidRPr="001E0710">
        <w:rPr>
          <w:rFonts w:cs="Arial"/>
          <w:color w:val="000000" w:themeColor="text1"/>
          <w:szCs w:val="24"/>
        </w:rPr>
        <w:t>” Another interviewee</w:t>
      </w:r>
      <w:r w:rsidR="00C47EE5" w:rsidRPr="001E0710">
        <w:rPr>
          <w:rFonts w:cs="Arial"/>
          <w:color w:val="000000" w:themeColor="text1"/>
          <w:szCs w:val="24"/>
        </w:rPr>
        <w:t>, Morag, a woman of colour working in the literary industry,</w:t>
      </w:r>
      <w:r w:rsidRPr="001E0710">
        <w:rPr>
          <w:rFonts w:cs="Arial"/>
          <w:color w:val="000000" w:themeColor="text1"/>
          <w:szCs w:val="24"/>
        </w:rPr>
        <w:t xml:space="preserve"> spoke about learn</w:t>
      </w:r>
      <w:r w:rsidR="00EB1F7F" w:rsidRPr="001E0710">
        <w:rPr>
          <w:rFonts w:cs="Arial"/>
          <w:color w:val="000000" w:themeColor="text1"/>
          <w:szCs w:val="24"/>
        </w:rPr>
        <w:t>ing</w:t>
      </w:r>
      <w:r w:rsidRPr="001E0710">
        <w:rPr>
          <w:rFonts w:cs="Arial"/>
          <w:color w:val="000000" w:themeColor="text1"/>
          <w:szCs w:val="24"/>
        </w:rPr>
        <w:t xml:space="preserve"> </w:t>
      </w:r>
      <w:r w:rsidR="00EB1F7F" w:rsidRPr="001E0710">
        <w:rPr>
          <w:rFonts w:cs="Arial"/>
          <w:color w:val="000000" w:themeColor="text1"/>
          <w:szCs w:val="24"/>
        </w:rPr>
        <w:t>self-</w:t>
      </w:r>
      <w:r w:rsidRPr="001E0710">
        <w:rPr>
          <w:rFonts w:cs="Arial"/>
          <w:color w:val="000000" w:themeColor="text1"/>
          <w:szCs w:val="24"/>
        </w:rPr>
        <w:t xml:space="preserve">protection </w:t>
      </w:r>
      <w:r w:rsidR="00EB1F7F" w:rsidRPr="001E0710">
        <w:rPr>
          <w:rFonts w:cs="Arial"/>
          <w:color w:val="000000" w:themeColor="text1"/>
          <w:szCs w:val="24"/>
        </w:rPr>
        <w:t xml:space="preserve">techniques </w:t>
      </w:r>
      <w:r w:rsidRPr="001E0710">
        <w:rPr>
          <w:rFonts w:cs="Arial"/>
          <w:color w:val="000000" w:themeColor="text1"/>
          <w:szCs w:val="24"/>
        </w:rPr>
        <w:t xml:space="preserve">to </w:t>
      </w:r>
      <w:r w:rsidR="00EB1F7F" w:rsidRPr="001E0710">
        <w:rPr>
          <w:rFonts w:cs="Arial"/>
          <w:color w:val="000000" w:themeColor="text1"/>
          <w:szCs w:val="24"/>
        </w:rPr>
        <w:t>prevent</w:t>
      </w:r>
      <w:r w:rsidRPr="001E0710">
        <w:rPr>
          <w:rFonts w:cs="Arial"/>
          <w:color w:val="000000" w:themeColor="text1"/>
          <w:szCs w:val="24"/>
        </w:rPr>
        <w:t xml:space="preserve"> being sexually harassed when dealing with older white men, and that she has had to learn to “get myself out of those situations through experience”</w:t>
      </w:r>
      <w:r w:rsidR="00A62D47" w:rsidRPr="001E0710">
        <w:rPr>
          <w:rFonts w:cs="Arial"/>
          <w:color w:val="000000" w:themeColor="text1"/>
          <w:szCs w:val="24"/>
        </w:rPr>
        <w:t>.</w:t>
      </w:r>
      <w:r w:rsidRPr="001E0710">
        <w:rPr>
          <w:rFonts w:cs="Arial"/>
          <w:color w:val="000000" w:themeColor="text1"/>
          <w:szCs w:val="24"/>
        </w:rPr>
        <w:t xml:space="preserve"> </w:t>
      </w:r>
      <w:r w:rsidR="00C47EE5" w:rsidRPr="001E0710">
        <w:rPr>
          <w:rFonts w:cs="Arial"/>
          <w:color w:val="000000" w:themeColor="text1"/>
          <w:szCs w:val="24"/>
        </w:rPr>
        <w:t>Morag</w:t>
      </w:r>
      <w:r w:rsidRPr="001E0710">
        <w:rPr>
          <w:rFonts w:cs="Arial"/>
          <w:color w:val="000000" w:themeColor="text1"/>
          <w:szCs w:val="24"/>
        </w:rPr>
        <w:t xml:space="preserve"> added that she had been groped previously while working in a different sector. Both interviewees’ experience</w:t>
      </w:r>
      <w:r w:rsidR="00EB1F7F" w:rsidRPr="001E0710">
        <w:rPr>
          <w:rFonts w:cs="Arial"/>
          <w:color w:val="000000" w:themeColor="text1"/>
          <w:szCs w:val="24"/>
        </w:rPr>
        <w:t xml:space="preserve">s show </w:t>
      </w:r>
      <w:r w:rsidRPr="001E0710">
        <w:rPr>
          <w:rFonts w:cs="Arial"/>
          <w:color w:val="000000" w:themeColor="text1"/>
          <w:szCs w:val="24"/>
        </w:rPr>
        <w:t xml:space="preserve">the threat to women in an unequal workplace, and highlight the coping mechanisms they have to </w:t>
      </w:r>
      <w:r w:rsidR="007C274A" w:rsidRPr="001E0710">
        <w:rPr>
          <w:rFonts w:cs="Arial"/>
          <w:color w:val="000000" w:themeColor="text1"/>
          <w:szCs w:val="24"/>
        </w:rPr>
        <w:t xml:space="preserve">use </w:t>
      </w:r>
      <w:r w:rsidRPr="001E0710">
        <w:rPr>
          <w:rFonts w:cs="Arial"/>
          <w:color w:val="000000" w:themeColor="text1"/>
          <w:szCs w:val="24"/>
        </w:rPr>
        <w:t>to get by.</w:t>
      </w:r>
    </w:p>
    <w:p w14:paraId="4DB3D9D2" w14:textId="2E7292DF" w:rsidR="00704C08" w:rsidRPr="001E0710" w:rsidRDefault="00D41088" w:rsidP="0024460A">
      <w:pPr>
        <w:spacing w:line="360" w:lineRule="auto"/>
        <w:ind w:firstLine="720"/>
        <w:jc w:val="both"/>
        <w:rPr>
          <w:rFonts w:cs="Arial"/>
          <w:color w:val="000000" w:themeColor="text1"/>
          <w:szCs w:val="24"/>
        </w:rPr>
      </w:pPr>
      <w:r>
        <w:rPr>
          <w:rFonts w:cs="Arial"/>
          <w:color w:val="000000" w:themeColor="text1"/>
          <w:szCs w:val="24"/>
        </w:rPr>
        <w:t xml:space="preserve">Gender-based harassment does not happen in isolation or simply </w:t>
      </w:r>
      <w:r w:rsidR="00054339">
        <w:rPr>
          <w:rFonts w:cs="Arial"/>
          <w:color w:val="000000" w:themeColor="text1"/>
          <w:szCs w:val="24"/>
        </w:rPr>
        <w:t>because</w:t>
      </w:r>
      <w:r w:rsidR="003A06F7" w:rsidRPr="001E0710">
        <w:rPr>
          <w:rFonts w:cs="Arial"/>
          <w:color w:val="000000" w:themeColor="text1"/>
          <w:szCs w:val="24"/>
        </w:rPr>
        <w:t xml:space="preserve"> of bad behaviour, but </w:t>
      </w:r>
      <w:r>
        <w:rPr>
          <w:rFonts w:cs="Arial"/>
          <w:color w:val="000000" w:themeColor="text1"/>
          <w:szCs w:val="24"/>
        </w:rPr>
        <w:t xml:space="preserve">is </w:t>
      </w:r>
      <w:r w:rsidR="003A06F7" w:rsidRPr="001E0710">
        <w:rPr>
          <w:rFonts w:cs="Arial"/>
          <w:color w:val="000000" w:themeColor="text1"/>
          <w:szCs w:val="24"/>
        </w:rPr>
        <w:t>the result of systemic inequality.</w:t>
      </w:r>
      <w:r w:rsidR="00266028" w:rsidRPr="00715DA1">
        <w:rPr>
          <w:rStyle w:val="FootnoteReference"/>
        </w:rPr>
        <w:footnoteReference w:id="43"/>
      </w:r>
      <w:r w:rsidR="00266028">
        <w:rPr>
          <w:rFonts w:cs="Arial"/>
          <w:color w:val="000000" w:themeColor="text1"/>
          <w:szCs w:val="24"/>
        </w:rPr>
        <w:t xml:space="preserve"> T</w:t>
      </w:r>
      <w:r w:rsidR="003A06F7" w:rsidRPr="001E0710">
        <w:rPr>
          <w:rFonts w:cs="Arial"/>
          <w:color w:val="000000" w:themeColor="text1"/>
          <w:szCs w:val="24"/>
        </w:rPr>
        <w:t>he feelings of authors were seen as more important than those of the female employee</w:t>
      </w:r>
      <w:r w:rsidR="00C47EE5" w:rsidRPr="001E0710">
        <w:rPr>
          <w:rFonts w:cs="Arial"/>
          <w:color w:val="000000" w:themeColor="text1"/>
          <w:szCs w:val="24"/>
        </w:rPr>
        <w:t xml:space="preserve"> Annabel</w:t>
      </w:r>
      <w:r w:rsidR="003A06F7" w:rsidRPr="001E0710">
        <w:rPr>
          <w:rFonts w:cs="Arial"/>
          <w:color w:val="000000" w:themeColor="text1"/>
          <w:szCs w:val="24"/>
        </w:rPr>
        <w:t xml:space="preserve"> cited above, and the feelings of older white men were seen as more important than the feelings of </w:t>
      </w:r>
      <w:r w:rsidR="00C47EE5" w:rsidRPr="00D41088">
        <w:rPr>
          <w:rFonts w:cs="Arial"/>
          <w:color w:val="000000" w:themeColor="text1"/>
          <w:szCs w:val="24"/>
        </w:rPr>
        <w:t xml:space="preserve">Morag, </w:t>
      </w:r>
      <w:r w:rsidR="003A06F7" w:rsidRPr="00D41088">
        <w:rPr>
          <w:rFonts w:cs="Arial"/>
          <w:color w:val="000000" w:themeColor="text1"/>
          <w:szCs w:val="24"/>
        </w:rPr>
        <w:t>a woman of colour. As research shows, “</w:t>
      </w:r>
      <w:r w:rsidR="003A06F7" w:rsidRPr="00D41088">
        <w:rPr>
          <w:rFonts w:ascii="Symbol" w:eastAsia="Symbol" w:hAnsi="Symbol" w:cs="Symbol"/>
          <w:color w:val="000000" w:themeColor="text1"/>
          <w:szCs w:val="24"/>
        </w:rPr>
        <w:t>[</w:t>
      </w:r>
      <w:r w:rsidR="003A06F7" w:rsidRPr="00D41088">
        <w:rPr>
          <w:rFonts w:cs="Arial"/>
          <w:color w:val="000000" w:themeColor="text1"/>
          <w:szCs w:val="24"/>
        </w:rPr>
        <w:t>t</w:t>
      </w:r>
      <w:r w:rsidR="003A06F7" w:rsidRPr="00D41088">
        <w:rPr>
          <w:rFonts w:ascii="Symbol" w:eastAsia="Symbol" w:hAnsi="Symbol" w:cs="Symbol"/>
          <w:color w:val="000000" w:themeColor="text1"/>
          <w:szCs w:val="24"/>
        </w:rPr>
        <w:t>]</w:t>
      </w:r>
      <w:r w:rsidR="003A06F7" w:rsidRPr="00D41088">
        <w:rPr>
          <w:rFonts w:cs="Arial"/>
          <w:color w:val="000000" w:themeColor="text1"/>
          <w:szCs w:val="24"/>
        </w:rPr>
        <w:t>he feelings of women ‘are accorded</w:t>
      </w:r>
      <w:r w:rsidR="003A06F7" w:rsidRPr="001E0710">
        <w:rPr>
          <w:rFonts w:cs="Arial"/>
          <w:color w:val="000000" w:themeColor="text1"/>
          <w:szCs w:val="24"/>
        </w:rPr>
        <w:t xml:space="preserve"> less weight than the feelings of men’</w:t>
      </w:r>
      <w:r w:rsidR="00703281" w:rsidRPr="00715DA1">
        <w:rPr>
          <w:rStyle w:val="FootnoteReference"/>
        </w:rPr>
        <w:footnoteReference w:id="44"/>
      </w:r>
      <w:r w:rsidR="003A06F7" w:rsidRPr="001E0710">
        <w:rPr>
          <w:rFonts w:cs="Arial"/>
          <w:color w:val="000000" w:themeColor="text1"/>
          <w:szCs w:val="24"/>
        </w:rPr>
        <w:t xml:space="preserve"> while those in additionally marginalised positions – people of colour and young people – are more likely to be subject to poor </w:t>
      </w:r>
      <w:r w:rsidR="003A06F7" w:rsidRPr="001E0710">
        <w:rPr>
          <w:rFonts w:cs="Arial"/>
          <w:color w:val="000000" w:themeColor="text1"/>
          <w:szCs w:val="24"/>
        </w:rPr>
        <w:lastRenderedPageBreak/>
        <w:t>treatment”</w:t>
      </w:r>
      <w:r w:rsidR="00F3797A">
        <w:rPr>
          <w:rFonts w:cs="Arial"/>
          <w:color w:val="000000" w:themeColor="text1"/>
          <w:szCs w:val="24"/>
        </w:rPr>
        <w:t>.</w:t>
      </w:r>
      <w:r w:rsidR="00684D21" w:rsidRPr="00715DA1">
        <w:rPr>
          <w:rStyle w:val="FootnoteReference"/>
        </w:rPr>
        <w:footnoteReference w:id="45"/>
      </w:r>
      <w:r w:rsidR="003A06F7" w:rsidRPr="001E0710">
        <w:rPr>
          <w:rFonts w:cs="Arial"/>
          <w:color w:val="000000" w:themeColor="text1"/>
          <w:szCs w:val="24"/>
        </w:rPr>
        <w:t xml:space="preserve"> The feelings of marginalised people are often discounted “by considering them rational but unimportant or by considering them unimportant and hence dismissible”</w:t>
      </w:r>
      <w:r w:rsidR="00F3797A">
        <w:rPr>
          <w:rFonts w:cs="Arial"/>
          <w:color w:val="000000" w:themeColor="text1"/>
          <w:szCs w:val="24"/>
        </w:rPr>
        <w:t>.</w:t>
      </w:r>
      <w:r w:rsidR="00684D21" w:rsidRPr="00715DA1">
        <w:rPr>
          <w:rStyle w:val="FootnoteReference"/>
        </w:rPr>
        <w:footnoteReference w:id="46"/>
      </w:r>
    </w:p>
    <w:p w14:paraId="07B83990" w14:textId="2D22A911" w:rsidR="00704C08" w:rsidRPr="001E0710" w:rsidRDefault="00000000" w:rsidP="0024460A">
      <w:pPr>
        <w:spacing w:line="360" w:lineRule="auto"/>
        <w:ind w:firstLine="720"/>
        <w:jc w:val="both"/>
        <w:rPr>
          <w:rFonts w:cs="Arial"/>
          <w:color w:val="000000" w:themeColor="text1"/>
          <w:szCs w:val="24"/>
        </w:rPr>
      </w:pPr>
      <w:r w:rsidRPr="001E0710">
        <w:rPr>
          <w:rFonts w:cs="Arial"/>
          <w:color w:val="000000" w:themeColor="text1"/>
          <w:szCs w:val="24"/>
        </w:rPr>
        <w:t>In their work on sexual harassment at the Frankfurt Book Fair, Squires and Driscoll write that the publishing industry’s “conviviality [...] is tied to its abusive behaviours”</w:t>
      </w:r>
      <w:r w:rsidR="00F3797A">
        <w:rPr>
          <w:rFonts w:cs="Arial"/>
          <w:color w:val="000000" w:themeColor="text1"/>
          <w:szCs w:val="24"/>
        </w:rPr>
        <w:t>.</w:t>
      </w:r>
      <w:r w:rsidR="00684D21" w:rsidRPr="00715DA1">
        <w:rPr>
          <w:rStyle w:val="FootnoteReference"/>
        </w:rPr>
        <w:footnoteReference w:id="47"/>
      </w:r>
      <w:r w:rsidRPr="001E0710">
        <w:rPr>
          <w:rFonts w:cs="Arial"/>
          <w:color w:val="000000" w:themeColor="text1"/>
          <w:szCs w:val="24"/>
        </w:rPr>
        <w:t xml:space="preserve"> A female editor reported in Australian industry magazine </w:t>
      </w:r>
      <w:r w:rsidRPr="001E0710">
        <w:rPr>
          <w:rFonts w:cs="Arial"/>
          <w:i/>
          <w:iCs/>
          <w:color w:val="000000" w:themeColor="text1"/>
          <w:szCs w:val="24"/>
        </w:rPr>
        <w:t>Books+Publishing</w:t>
      </w:r>
      <w:r w:rsidRPr="001E0710">
        <w:rPr>
          <w:rFonts w:cs="Arial"/>
          <w:color w:val="000000" w:themeColor="text1"/>
          <w:szCs w:val="24"/>
        </w:rPr>
        <w:t>: “</w:t>
      </w:r>
      <w:r w:rsidRPr="001E0710">
        <w:rPr>
          <w:rFonts w:cs="Arial"/>
          <w:color w:val="333333"/>
          <w:szCs w:val="24"/>
          <w:shd w:val="clear" w:color="auto" w:fill="FFFFFF"/>
        </w:rPr>
        <w:t>In my experience event settings are where harassment is most likely to occur</w:t>
      </w:r>
      <w:r w:rsidR="00D41088">
        <w:rPr>
          <w:rFonts w:cs="Arial"/>
          <w:color w:val="333333"/>
          <w:szCs w:val="24"/>
          <w:shd w:val="clear" w:color="auto" w:fill="FFFFFF"/>
        </w:rPr>
        <w:t>.</w:t>
      </w:r>
      <w:r w:rsidRPr="001E0710">
        <w:rPr>
          <w:rFonts w:cs="Arial"/>
          <w:color w:val="333333"/>
          <w:szCs w:val="24"/>
          <w:shd w:val="clear" w:color="auto" w:fill="FFFFFF"/>
        </w:rPr>
        <w:t>”</w:t>
      </w:r>
      <w:r w:rsidR="00684D21" w:rsidRPr="00715DA1">
        <w:rPr>
          <w:rStyle w:val="FootnoteReference"/>
        </w:rPr>
        <w:footnoteReference w:id="48"/>
      </w:r>
    </w:p>
    <w:p w14:paraId="41850ED9" w14:textId="2F30B1C2" w:rsidR="00704C08" w:rsidRPr="001E0710" w:rsidRDefault="00000000" w:rsidP="0024460A">
      <w:pPr>
        <w:spacing w:line="360" w:lineRule="auto"/>
        <w:ind w:firstLine="720"/>
        <w:jc w:val="both"/>
        <w:rPr>
          <w:rFonts w:cs="Arial"/>
          <w:color w:val="000000" w:themeColor="text1"/>
          <w:szCs w:val="24"/>
        </w:rPr>
      </w:pPr>
      <w:r w:rsidRPr="001E0710">
        <w:rPr>
          <w:rFonts w:cs="Arial"/>
          <w:color w:val="000000" w:themeColor="text1"/>
          <w:szCs w:val="24"/>
        </w:rPr>
        <w:t>Discrimination and sexual harassment are rife within the publishing industry at large</w:t>
      </w:r>
      <w:r w:rsidR="00D41088">
        <w:rPr>
          <w:rFonts w:cs="Arial"/>
          <w:color w:val="000000" w:themeColor="text1"/>
          <w:szCs w:val="24"/>
        </w:rPr>
        <w:t>. A</w:t>
      </w:r>
      <w:r w:rsidRPr="001E0710">
        <w:rPr>
          <w:rFonts w:cs="Arial"/>
          <w:color w:val="000000" w:themeColor="text1"/>
          <w:szCs w:val="24"/>
        </w:rPr>
        <w:t xml:space="preserve"> 2017 survey conducted in the UK </w:t>
      </w:r>
      <w:r w:rsidR="00054339">
        <w:rPr>
          <w:rFonts w:cs="Arial"/>
          <w:color w:val="000000" w:themeColor="text1"/>
          <w:szCs w:val="24"/>
        </w:rPr>
        <w:t>found</w:t>
      </w:r>
      <w:r w:rsidRPr="001E0710">
        <w:rPr>
          <w:rFonts w:cs="Arial"/>
          <w:color w:val="000000" w:themeColor="text1"/>
          <w:szCs w:val="24"/>
        </w:rPr>
        <w:t xml:space="preserve"> that 54% of women and 34% of men had experienced sexual harassment</w:t>
      </w:r>
      <w:r w:rsidR="00D41088">
        <w:rPr>
          <w:rFonts w:cs="Arial"/>
          <w:color w:val="000000" w:themeColor="text1"/>
          <w:szCs w:val="24"/>
        </w:rPr>
        <w:t>.</w:t>
      </w:r>
      <w:r w:rsidR="00684D21" w:rsidRPr="00715DA1">
        <w:rPr>
          <w:rStyle w:val="FootnoteReference"/>
        </w:rPr>
        <w:footnoteReference w:id="49"/>
      </w:r>
    </w:p>
    <w:p w14:paraId="289763E4" w14:textId="54248117" w:rsidR="00704C08" w:rsidRPr="001E0710" w:rsidRDefault="00C47EE5" w:rsidP="0024460A">
      <w:pPr>
        <w:spacing w:line="360" w:lineRule="auto"/>
        <w:ind w:firstLine="720"/>
        <w:jc w:val="both"/>
        <w:rPr>
          <w:rFonts w:cs="Arial"/>
          <w:color w:val="000000" w:themeColor="text1"/>
          <w:szCs w:val="24"/>
        </w:rPr>
      </w:pPr>
      <w:r w:rsidRPr="001E0710">
        <w:rPr>
          <w:rFonts w:cs="Arial"/>
          <w:color w:val="000000" w:themeColor="text1"/>
        </w:rPr>
        <w:t xml:space="preserve">Annabel </w:t>
      </w:r>
      <w:r w:rsidR="003A06F7" w:rsidRPr="001E0710">
        <w:rPr>
          <w:rFonts w:cs="Arial"/>
          <w:color w:val="000000" w:themeColor="text1"/>
        </w:rPr>
        <w:t xml:space="preserve">described </w:t>
      </w:r>
      <w:r w:rsidRPr="001E0710">
        <w:rPr>
          <w:rFonts w:cs="Arial"/>
          <w:color w:val="000000" w:themeColor="text1"/>
        </w:rPr>
        <w:t>egregious discrimination against a pregnant illustrator:</w:t>
      </w:r>
    </w:p>
    <w:p w14:paraId="5D73B942" w14:textId="1F844573" w:rsidR="003A06F7" w:rsidRPr="001E0710" w:rsidRDefault="00000000" w:rsidP="0024460A">
      <w:pPr>
        <w:pStyle w:val="Quote"/>
        <w:rPr>
          <w:szCs w:val="24"/>
        </w:rPr>
      </w:pPr>
      <w:r w:rsidRPr="001E0710">
        <w:t xml:space="preserve">On one occasion I saw there was an illustrator who was pregnant and was dropped from a book that we were planning because the publisher who was a man </w:t>
      </w:r>
      <w:r w:rsidR="003A06F7" w:rsidRPr="001E0710">
        <w:t xml:space="preserve">[…] </w:t>
      </w:r>
      <w:r w:rsidRPr="001E0710">
        <w:t xml:space="preserve">just assumed that she didn't have the focus to do her professional work because she was pregnant. </w:t>
      </w:r>
      <w:r w:rsidR="003A06F7" w:rsidRPr="001E0710">
        <w:t xml:space="preserve">[I]t </w:t>
      </w:r>
      <w:r w:rsidRPr="001E0710">
        <w:t>wasn't done in […] a positive spirit of</w:t>
      </w:r>
      <w:r w:rsidR="003A06F7" w:rsidRPr="001E0710">
        <w:t xml:space="preserve"> </w:t>
      </w:r>
      <w:r w:rsidRPr="001E0710">
        <w:t>trying to ease her workflows initially. She's cut because she was pregnant.</w:t>
      </w:r>
    </w:p>
    <w:p w14:paraId="72AF5076" w14:textId="5DC00082" w:rsidR="00704C08" w:rsidRPr="001E0710" w:rsidRDefault="003A06F7" w:rsidP="0024460A">
      <w:pPr>
        <w:spacing w:line="360" w:lineRule="auto"/>
        <w:jc w:val="both"/>
        <w:rPr>
          <w:rFonts w:cs="Arial"/>
          <w:color w:val="000000"/>
          <w:szCs w:val="24"/>
        </w:rPr>
      </w:pPr>
      <w:r w:rsidRPr="001E0710">
        <w:rPr>
          <w:rFonts w:cs="Arial"/>
          <w:color w:val="000000" w:themeColor="text1"/>
          <w:szCs w:val="24"/>
        </w:rPr>
        <w:t xml:space="preserve">Caring work is another site of discrimination. </w:t>
      </w:r>
      <w:r w:rsidR="00C47EE5" w:rsidRPr="001E0710">
        <w:rPr>
          <w:rFonts w:cs="Arial"/>
          <w:color w:val="000000" w:themeColor="text1"/>
          <w:szCs w:val="24"/>
        </w:rPr>
        <w:t>Emma, a white woman working in a senior role in the literary sector,</w:t>
      </w:r>
      <w:r w:rsidRPr="001E0710">
        <w:rPr>
          <w:rFonts w:cs="Arial"/>
          <w:color w:val="000000"/>
          <w:szCs w:val="24"/>
        </w:rPr>
        <w:t xml:space="preserve"> noted that “an unfair burden” of caring work lands on women, and that they are “more likely to feel guilty about spending time on a creative pursuit that isn't about supporting other people.” </w:t>
      </w:r>
      <w:r w:rsidR="00C47EE5" w:rsidRPr="001E0710">
        <w:rPr>
          <w:rFonts w:cs="Arial"/>
          <w:color w:val="000000"/>
          <w:szCs w:val="24"/>
        </w:rPr>
        <w:t xml:space="preserve">Emma </w:t>
      </w:r>
      <w:r w:rsidRPr="001E0710">
        <w:rPr>
          <w:rFonts w:cs="Arial"/>
          <w:color w:val="000000"/>
          <w:szCs w:val="24"/>
        </w:rPr>
        <w:t>added:</w:t>
      </w:r>
    </w:p>
    <w:p w14:paraId="4AAEBD32" w14:textId="1F90AED0" w:rsidR="00704C08" w:rsidRPr="001E0710" w:rsidRDefault="00000000" w:rsidP="0024460A">
      <w:pPr>
        <w:pStyle w:val="Quote"/>
      </w:pPr>
      <w:r w:rsidRPr="001E0710">
        <w:t xml:space="preserve">I have not </w:t>
      </w:r>
      <w:r w:rsidR="003617BB" w:rsidRPr="001E0710">
        <w:t xml:space="preserve">had </w:t>
      </w:r>
      <w:r w:rsidRPr="001E0710">
        <w:t>the same opportunities as other people who do not have children</w:t>
      </w:r>
      <w:r w:rsidR="003A06F7" w:rsidRPr="001E0710">
        <w:t>,</w:t>
      </w:r>
      <w:r w:rsidRPr="001E0710">
        <w:t xml:space="preserve"> which is fine, because I also have that as a benefit. What pisses me off is the fact that I do not have the same opportunities as men with children. That's the thing that gets me. Because that's not fair.</w:t>
      </w:r>
    </w:p>
    <w:p w14:paraId="2571D40B" w14:textId="77777777" w:rsidR="003A06F7" w:rsidRPr="001E0710" w:rsidRDefault="003A06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ind w:left="709"/>
        <w:rPr>
          <w:rFonts w:cs="Arial"/>
          <w:color w:val="000000"/>
          <w:szCs w:val="24"/>
        </w:rPr>
      </w:pPr>
    </w:p>
    <w:p w14:paraId="2C9D0A98" w14:textId="77F57C77" w:rsidR="00704C08" w:rsidRPr="001E0710" w:rsidRDefault="006F69D7" w:rsidP="001E678E">
      <w:pPr>
        <w:pStyle w:val="Heading2"/>
        <w:rPr>
          <w:rFonts w:cs="Arial"/>
        </w:rPr>
      </w:pPr>
      <w:bookmarkStart w:id="46" w:name="_Toc180580135"/>
      <w:bookmarkStart w:id="47" w:name="_Toc195538161"/>
      <w:r w:rsidRPr="001E0710">
        <w:rPr>
          <w:rFonts w:cs="Arial"/>
        </w:rPr>
        <w:t>Devaluing women’s work</w:t>
      </w:r>
      <w:bookmarkEnd w:id="46"/>
      <w:bookmarkEnd w:id="47"/>
    </w:p>
    <w:p w14:paraId="77A6498D" w14:textId="77777777" w:rsidR="0024460A" w:rsidRDefault="006F69D7" w:rsidP="0024460A">
      <w:pPr>
        <w:spacing w:line="360" w:lineRule="auto"/>
        <w:jc w:val="both"/>
        <w:rPr>
          <w:rFonts w:cs="Arial"/>
        </w:rPr>
      </w:pPr>
      <w:r w:rsidRPr="001E0710">
        <w:rPr>
          <w:rFonts w:cs="Arial"/>
        </w:rPr>
        <w:lastRenderedPageBreak/>
        <w:t>When women are discriminated against in literature</w:t>
      </w:r>
      <w:r w:rsidR="00526180" w:rsidRPr="001E0710">
        <w:rPr>
          <w:rFonts w:cs="Arial"/>
        </w:rPr>
        <w:t>, their work is being devalued. In turn, the idea that women’s work is less valuable is also used to justify discrimination.</w:t>
      </w:r>
    </w:p>
    <w:p w14:paraId="5BAD72A6" w14:textId="77777777" w:rsidR="0024460A" w:rsidRDefault="00C47EE5" w:rsidP="0024460A">
      <w:pPr>
        <w:spacing w:line="360" w:lineRule="auto"/>
        <w:ind w:firstLine="720"/>
        <w:jc w:val="both"/>
        <w:rPr>
          <w:rFonts w:cs="Arial"/>
        </w:rPr>
      </w:pPr>
      <w:r w:rsidRPr="001E0710">
        <w:rPr>
          <w:rFonts w:cs="Arial"/>
          <w:color w:val="000000" w:themeColor="text1"/>
        </w:rPr>
        <w:t>Paula, a white female author and literary critic, spoke about losing her job as a reviewer at two newspapers in favour of male critics during periods of downsizing: “</w:t>
      </w:r>
      <w:r w:rsidR="00526180" w:rsidRPr="001E0710">
        <w:rPr>
          <w:rFonts w:cs="Arial"/>
          <w:color w:val="000000" w:themeColor="text1"/>
        </w:rPr>
        <w:t>I</w:t>
      </w:r>
      <w:r w:rsidRPr="001E0710">
        <w:rPr>
          <w:rFonts w:cs="Arial"/>
          <w:color w:val="000000" w:themeColor="text1"/>
        </w:rPr>
        <w:t>n both cases I got dropped, and the men got kept on. And I have wondered before if that was the price I paid for focusing on women.”</w:t>
      </w:r>
    </w:p>
    <w:p w14:paraId="64022292" w14:textId="38A2E163" w:rsidR="00704C08" w:rsidRPr="001E0710" w:rsidRDefault="00C47EE5" w:rsidP="0024460A">
      <w:pPr>
        <w:spacing w:line="360" w:lineRule="auto"/>
        <w:ind w:firstLine="720"/>
        <w:jc w:val="both"/>
        <w:rPr>
          <w:rFonts w:cs="Arial"/>
        </w:rPr>
      </w:pPr>
      <w:r w:rsidRPr="00A2121A">
        <w:rPr>
          <w:rFonts w:cs="Arial"/>
        </w:rPr>
        <w:t>Claudia</w:t>
      </w:r>
      <w:r w:rsidRPr="00A2121A">
        <w:rPr>
          <w:rFonts w:cs="Arial"/>
          <w:color w:val="000000" w:themeColor="text1"/>
        </w:rPr>
        <w:t>, a woman of colour with experience across the Scottish literary</w:t>
      </w:r>
      <w:r w:rsidRPr="001E0710">
        <w:rPr>
          <w:rFonts w:cs="Arial"/>
          <w:color w:val="000000" w:themeColor="text1"/>
        </w:rPr>
        <w:t xml:space="preserve"> industry, spoke about being stopped from applying for an award. She had edited a book as part of a community-based project, and was “specifically in that role as a person of colour”:</w:t>
      </w:r>
    </w:p>
    <w:p w14:paraId="40F536BF" w14:textId="10225541" w:rsidR="00704C08" w:rsidRPr="001E0710" w:rsidRDefault="00000000" w:rsidP="0024460A">
      <w:pPr>
        <w:pStyle w:val="Quote"/>
      </w:pPr>
      <w:r w:rsidRPr="001E0710">
        <w:t>[…] my two white colleagues got statements of support from my boss, I was not given one</w:t>
      </w:r>
      <w:r w:rsidR="00526180" w:rsidRPr="001E0710">
        <w:t>,</w:t>
      </w:r>
      <w:r w:rsidRPr="001E0710">
        <w:t xml:space="preserve"> so I was not allowed to apply. And the reasoning I was given was “I don't think it's your kind of role that they're looking for.” Which I find incredibly interesting, because I was still publishing, I was still being a publisher, so what are the parts of my role that were different? It was public engagement, it was working with young people, it was taking on a caring role, and it was specifically doing work that would be seen as traditionally 'outreach' work.</w:t>
      </w:r>
    </w:p>
    <w:p w14:paraId="2A43BB8A" w14:textId="5938FC2B" w:rsidR="0024460A" w:rsidRPr="0065313A" w:rsidRDefault="00C47EE5" w:rsidP="0024460A">
      <w:pPr>
        <w:spacing w:after="0" w:line="360" w:lineRule="auto"/>
        <w:jc w:val="both"/>
        <w:rPr>
          <w:rStyle w:val="IntenseEmphasis"/>
        </w:rPr>
      </w:pPr>
      <w:r w:rsidRPr="001E0710">
        <w:rPr>
          <w:rFonts w:cs="Arial"/>
          <w:color w:val="000000" w:themeColor="text1"/>
          <w:szCs w:val="24"/>
        </w:rPr>
        <w:t xml:space="preserve">Claudia </w:t>
      </w:r>
      <w:r w:rsidR="00526180" w:rsidRPr="001E0710">
        <w:rPr>
          <w:rFonts w:cs="Arial"/>
          <w:color w:val="000000" w:themeColor="text1"/>
          <w:szCs w:val="24"/>
        </w:rPr>
        <w:t>continued,</w:t>
      </w:r>
      <w:r w:rsidRPr="001E0710">
        <w:rPr>
          <w:rFonts w:cs="Arial"/>
          <w:color w:val="000000" w:themeColor="text1"/>
          <w:szCs w:val="24"/>
        </w:rPr>
        <w:t xml:space="preserve"> “I just think it's incredibly telling that people with more power than me in the industry think that it's not the type of thing that would be seen as good, valuable or worthy of an award</w:t>
      </w:r>
      <w:r w:rsidR="00D41088">
        <w:rPr>
          <w:rFonts w:cs="Arial"/>
          <w:color w:val="000000" w:themeColor="text1"/>
          <w:szCs w:val="24"/>
        </w:rPr>
        <w:t>.”</w:t>
      </w:r>
      <w:r w:rsidR="00526180" w:rsidRPr="001E0710">
        <w:rPr>
          <w:rFonts w:cs="Arial"/>
          <w:color w:val="000000" w:themeColor="text1"/>
          <w:szCs w:val="24"/>
        </w:rPr>
        <w:t xml:space="preserve"> </w:t>
      </w:r>
      <w:r w:rsidRPr="0065313A">
        <w:rPr>
          <w:rStyle w:val="IntenseEmphasis"/>
        </w:rPr>
        <w:t>Claudia</w:t>
      </w:r>
      <w:r w:rsidR="00526180" w:rsidRPr="0065313A">
        <w:rPr>
          <w:rStyle w:val="IntenseEmphasis"/>
        </w:rPr>
        <w:t>’s work was financially valuable to her employer, but because it included caring work it was seen as less artistically valuable</w:t>
      </w:r>
      <w:r w:rsidR="0024460A" w:rsidRPr="0065313A">
        <w:rPr>
          <w:rStyle w:val="IntenseEmphasis"/>
        </w:rPr>
        <w:t>.</w:t>
      </w:r>
    </w:p>
    <w:p w14:paraId="73DE051C" w14:textId="131A87B3" w:rsidR="00704C08" w:rsidRPr="0024460A" w:rsidRDefault="00000000" w:rsidP="0024460A">
      <w:pPr>
        <w:spacing w:after="0" w:line="360" w:lineRule="auto"/>
        <w:ind w:firstLine="720"/>
        <w:jc w:val="both"/>
        <w:rPr>
          <w:rFonts w:cs="Arial"/>
        </w:rPr>
      </w:pPr>
      <w:r w:rsidRPr="001E0710">
        <w:rPr>
          <w:rFonts w:cs="Arial"/>
          <w:color w:val="000000" w:themeColor="text1"/>
          <w:szCs w:val="24"/>
        </w:rPr>
        <w:t xml:space="preserve">Several interviewees highlighted the issue of male publishers or CEOs working with largely female staff. </w:t>
      </w:r>
      <w:r w:rsidR="00C47EE5" w:rsidRPr="001E0710">
        <w:rPr>
          <w:rFonts w:cs="Arial"/>
          <w:color w:val="000000" w:themeColor="text1"/>
          <w:szCs w:val="24"/>
        </w:rPr>
        <w:t>Olivia, a white female author,</w:t>
      </w:r>
      <w:r w:rsidRPr="001E0710">
        <w:rPr>
          <w:rFonts w:cs="Arial"/>
          <w:color w:val="000000" w:themeColor="text1"/>
          <w:szCs w:val="24"/>
        </w:rPr>
        <w:t xml:space="preserve"> said that she had for nearly two decades been working with the </w:t>
      </w:r>
      <w:r w:rsidR="00C47EE5" w:rsidRPr="001E0710">
        <w:rPr>
          <w:rFonts w:cs="Arial"/>
          <w:color w:val="000000" w:themeColor="text1"/>
          <w:szCs w:val="24"/>
        </w:rPr>
        <w:t>same publisher</w:t>
      </w:r>
      <w:r w:rsidRPr="001E0710">
        <w:rPr>
          <w:rFonts w:cs="Arial"/>
          <w:color w:val="000000" w:themeColor="text1"/>
          <w:szCs w:val="24"/>
        </w:rPr>
        <w:t xml:space="preserve">, and had noticed a discrepancy in the power and positions </w:t>
      </w:r>
      <w:r w:rsidR="00054339">
        <w:rPr>
          <w:rFonts w:cs="Arial"/>
          <w:color w:val="000000" w:themeColor="text1"/>
          <w:szCs w:val="24"/>
        </w:rPr>
        <w:t>among</w:t>
      </w:r>
      <w:r w:rsidRPr="001E0710">
        <w:rPr>
          <w:rFonts w:cs="Arial"/>
          <w:color w:val="000000" w:themeColor="text1"/>
          <w:szCs w:val="24"/>
        </w:rPr>
        <w:t xml:space="preserve"> the staff: “</w:t>
      </w:r>
      <w:r w:rsidR="00D41088">
        <w:rPr>
          <w:rFonts w:cs="Arial"/>
          <w:color w:val="000000" w:themeColor="text1"/>
          <w:szCs w:val="24"/>
        </w:rPr>
        <w:t>E</w:t>
      </w:r>
      <w:r w:rsidRPr="001E0710">
        <w:rPr>
          <w:rFonts w:cs="Arial"/>
          <w:color w:val="000000" w:themeColor="text1"/>
          <w:szCs w:val="24"/>
        </w:rPr>
        <w:t xml:space="preserve">verybody who works for [the </w:t>
      </w:r>
      <w:r w:rsidR="00C47EE5" w:rsidRPr="001E0710">
        <w:rPr>
          <w:rFonts w:cs="Arial"/>
          <w:color w:val="000000" w:themeColor="text1"/>
          <w:szCs w:val="24"/>
        </w:rPr>
        <w:t>male publishing director</w:t>
      </w:r>
      <w:r w:rsidRPr="001E0710">
        <w:rPr>
          <w:rFonts w:cs="Arial"/>
          <w:color w:val="000000" w:themeColor="text1"/>
          <w:szCs w:val="24"/>
        </w:rPr>
        <w:t>] is female. They do all the legwork, but they don't have any influence at all about what he decides to publish</w:t>
      </w:r>
      <w:r w:rsidR="001B6114">
        <w:rPr>
          <w:rFonts w:cs="Arial"/>
          <w:color w:val="000000" w:themeColor="text1"/>
          <w:szCs w:val="24"/>
        </w:rPr>
        <w:t>.”</w:t>
      </w:r>
      <w:r w:rsidRPr="001E0710">
        <w:rPr>
          <w:rFonts w:cs="Arial"/>
          <w:color w:val="000000" w:themeColor="text1"/>
          <w:szCs w:val="24"/>
        </w:rPr>
        <w:t xml:space="preserve"> This was echoed by </w:t>
      </w:r>
      <w:r w:rsidR="00C47EE5" w:rsidRPr="001E0710">
        <w:rPr>
          <w:rFonts w:cs="Arial"/>
          <w:color w:val="000000" w:themeColor="text1"/>
          <w:szCs w:val="24"/>
        </w:rPr>
        <w:t>publisher Annabel</w:t>
      </w:r>
      <w:r w:rsidRPr="001E0710">
        <w:rPr>
          <w:rFonts w:cs="Arial"/>
          <w:color w:val="000000" w:themeColor="text1"/>
          <w:szCs w:val="24"/>
        </w:rPr>
        <w:t>, who said that</w:t>
      </w:r>
      <w:r w:rsidR="00526180" w:rsidRPr="001E0710">
        <w:rPr>
          <w:rFonts w:cs="Arial"/>
          <w:color w:val="000000" w:themeColor="text1"/>
          <w:szCs w:val="24"/>
        </w:rPr>
        <w:t xml:space="preserve"> </w:t>
      </w:r>
      <w:r w:rsidRPr="001E0710">
        <w:rPr>
          <w:rFonts w:cs="Arial"/>
          <w:color w:val="000000" w:themeColor="text1"/>
          <w:szCs w:val="24"/>
        </w:rPr>
        <w:t>administrative work often fell to women, and that this work was “undervalued”</w:t>
      </w:r>
      <w:r w:rsidR="00A62D47" w:rsidRPr="001E0710">
        <w:rPr>
          <w:rFonts w:cs="Arial"/>
          <w:color w:val="000000" w:themeColor="text1"/>
          <w:szCs w:val="24"/>
        </w:rPr>
        <w:t>.</w:t>
      </w:r>
      <w:r w:rsidRPr="001E0710">
        <w:rPr>
          <w:rFonts w:cs="Arial"/>
          <w:color w:val="000000" w:themeColor="text1"/>
          <w:szCs w:val="24"/>
        </w:rPr>
        <w:t xml:space="preserve"> </w:t>
      </w:r>
      <w:r w:rsidR="00C47EE5" w:rsidRPr="001E0710">
        <w:rPr>
          <w:rFonts w:cs="Arial"/>
          <w:color w:val="000000" w:themeColor="text1"/>
          <w:szCs w:val="24"/>
        </w:rPr>
        <w:t xml:space="preserve">Author and literary critic Paula </w:t>
      </w:r>
      <w:r w:rsidRPr="001E0710">
        <w:rPr>
          <w:rFonts w:cs="Arial"/>
          <w:color w:val="000000" w:themeColor="text1"/>
          <w:szCs w:val="24"/>
        </w:rPr>
        <w:t>agreed, stating that “the publishing industry is so sexist too. Because it doesn’t let women run it, it has women at the bottom levels but not so much at the top, so you’ve got all these […] women at the bottom, decisions being made at the top</w:t>
      </w:r>
      <w:r w:rsidR="00D41088">
        <w:rPr>
          <w:rFonts w:cs="Arial"/>
          <w:color w:val="000000" w:themeColor="text1"/>
          <w:szCs w:val="24"/>
        </w:rPr>
        <w:t xml:space="preserve">.” </w:t>
      </w:r>
      <w:r w:rsidRPr="001E0710">
        <w:rPr>
          <w:rFonts w:cs="Arial"/>
          <w:color w:val="000000" w:themeColor="text1"/>
          <w:szCs w:val="24"/>
        </w:rPr>
        <w:t xml:space="preserve">Other interviewees agreed with </w:t>
      </w:r>
      <w:r w:rsidR="00C47EE5" w:rsidRPr="001E0710">
        <w:rPr>
          <w:rFonts w:cs="Arial"/>
          <w:color w:val="000000" w:themeColor="text1"/>
          <w:szCs w:val="24"/>
        </w:rPr>
        <w:t xml:space="preserve">Paula’s </w:t>
      </w:r>
      <w:r w:rsidRPr="001E0710">
        <w:rPr>
          <w:rFonts w:cs="Arial"/>
          <w:color w:val="000000" w:themeColor="text1"/>
          <w:szCs w:val="24"/>
        </w:rPr>
        <w:t>assessment</w:t>
      </w:r>
      <w:r w:rsidR="00526180" w:rsidRPr="001E0710">
        <w:rPr>
          <w:rFonts w:cs="Arial"/>
          <w:color w:val="000000" w:themeColor="text1"/>
          <w:szCs w:val="24"/>
        </w:rPr>
        <w:t>.</w:t>
      </w:r>
      <w:r w:rsidRPr="001E0710">
        <w:rPr>
          <w:rFonts w:cs="Arial"/>
          <w:color w:val="000000" w:themeColor="text1"/>
          <w:szCs w:val="24"/>
        </w:rPr>
        <w:t xml:space="preserve"> </w:t>
      </w:r>
      <w:r w:rsidR="00526180" w:rsidRPr="001E0710">
        <w:rPr>
          <w:rFonts w:cs="Arial"/>
          <w:color w:val="000000" w:themeColor="text1"/>
          <w:szCs w:val="24"/>
        </w:rPr>
        <w:t>F</w:t>
      </w:r>
      <w:r w:rsidRPr="001E0710">
        <w:rPr>
          <w:rFonts w:cs="Arial"/>
          <w:color w:val="000000" w:themeColor="text1"/>
          <w:szCs w:val="24"/>
        </w:rPr>
        <w:t xml:space="preserve">or example </w:t>
      </w:r>
      <w:r w:rsidR="003F6A1C" w:rsidRPr="001E0710">
        <w:rPr>
          <w:rFonts w:cs="Arial"/>
          <w:color w:val="000000" w:themeColor="text1"/>
          <w:szCs w:val="24"/>
        </w:rPr>
        <w:lastRenderedPageBreak/>
        <w:t>Anita</w:t>
      </w:r>
      <w:r w:rsidRPr="001E0710">
        <w:rPr>
          <w:rFonts w:cs="Arial"/>
          <w:color w:val="000000" w:themeColor="text1"/>
          <w:szCs w:val="24"/>
        </w:rPr>
        <w:t xml:space="preserve">, </w:t>
      </w:r>
      <w:r w:rsidR="003F6A1C" w:rsidRPr="001E0710">
        <w:rPr>
          <w:rFonts w:cs="Arial"/>
          <w:color w:val="000000" w:themeColor="text1"/>
          <w:szCs w:val="24"/>
        </w:rPr>
        <w:t>a white woman working in a senior role in the literary sector</w:t>
      </w:r>
      <w:r w:rsidRPr="001E0710">
        <w:rPr>
          <w:rFonts w:cs="Arial"/>
          <w:color w:val="000000" w:themeColor="text1"/>
          <w:szCs w:val="24"/>
        </w:rPr>
        <w:t>, said that women’s work in Scottish literature was mostly happening “behind the scenes”, and often without getting sufficient recognition</w:t>
      </w:r>
      <w:r w:rsidR="00A62D47" w:rsidRPr="001E0710">
        <w:rPr>
          <w:rFonts w:cs="Arial"/>
          <w:color w:val="000000" w:themeColor="text1"/>
          <w:szCs w:val="24"/>
        </w:rPr>
        <w:t>.</w:t>
      </w:r>
    </w:p>
    <w:p w14:paraId="635F43A2" w14:textId="77777777" w:rsidR="001B6114" w:rsidRDefault="00C47EE5" w:rsidP="0024460A">
      <w:pPr>
        <w:spacing w:line="360" w:lineRule="auto"/>
        <w:ind w:firstLine="720"/>
        <w:jc w:val="both"/>
        <w:rPr>
          <w:rFonts w:cs="Arial"/>
          <w:szCs w:val="24"/>
        </w:rPr>
      </w:pPr>
      <w:r w:rsidRPr="001E0710">
        <w:rPr>
          <w:rFonts w:cs="Arial"/>
          <w:color w:val="000000" w:themeColor="text1"/>
        </w:rPr>
        <w:t>Paula</w:t>
      </w:r>
      <w:r w:rsidR="00BA4B33" w:rsidRPr="001E0710">
        <w:rPr>
          <w:rFonts w:cs="Arial"/>
          <w:szCs w:val="24"/>
        </w:rPr>
        <w:t xml:space="preserve"> spoke about </w:t>
      </w:r>
      <w:r w:rsidR="00526180" w:rsidRPr="001E0710">
        <w:rPr>
          <w:rFonts w:cs="Arial"/>
          <w:szCs w:val="24"/>
        </w:rPr>
        <w:t xml:space="preserve">how </w:t>
      </w:r>
      <w:r w:rsidR="00BA4B33" w:rsidRPr="001E0710">
        <w:rPr>
          <w:rFonts w:cs="Arial"/>
          <w:szCs w:val="24"/>
        </w:rPr>
        <w:t xml:space="preserve">women’s work </w:t>
      </w:r>
      <w:r w:rsidR="00526180" w:rsidRPr="001E0710">
        <w:rPr>
          <w:rFonts w:cs="Arial"/>
          <w:szCs w:val="24"/>
        </w:rPr>
        <w:t>is</w:t>
      </w:r>
      <w:r w:rsidR="00BA4B33" w:rsidRPr="001E0710">
        <w:rPr>
          <w:rFonts w:cs="Arial"/>
          <w:szCs w:val="24"/>
        </w:rPr>
        <w:t xml:space="preserve"> seen as </w:t>
      </w:r>
      <w:r w:rsidR="00526180" w:rsidRPr="001E0710">
        <w:rPr>
          <w:rFonts w:cs="Arial"/>
          <w:szCs w:val="24"/>
        </w:rPr>
        <w:t xml:space="preserve">less </w:t>
      </w:r>
      <w:r w:rsidR="00BA4B33" w:rsidRPr="001E0710">
        <w:rPr>
          <w:rFonts w:cs="Arial"/>
          <w:szCs w:val="24"/>
        </w:rPr>
        <w:t>serious:</w:t>
      </w:r>
    </w:p>
    <w:p w14:paraId="2211A705" w14:textId="58B297D5" w:rsidR="00A62D47" w:rsidRPr="001E0710" w:rsidRDefault="001B6114" w:rsidP="001B6114">
      <w:pPr>
        <w:pStyle w:val="Quote"/>
      </w:pPr>
      <w:r w:rsidRPr="001E0710">
        <w:t>[</w:t>
      </w:r>
      <w:r>
        <w:t>A</w:t>
      </w:r>
      <w:r w:rsidRPr="001E0710">
        <w:t>]</w:t>
      </w:r>
      <w:r w:rsidR="00BA4B33" w:rsidRPr="001E0710">
        <w:t>s a [female] reviewer, your opinion isn’t considered as serious as a male reviewer. And you will be assigned the women's books anyway, so you're devalued there in three positions: as a writer, as a reviewer and as somebody who is reviewing the less well-regarded stuff</w:t>
      </w:r>
      <w:r w:rsidR="00526180" w:rsidRPr="001E0710">
        <w:t>.</w:t>
      </w:r>
      <w:r w:rsidR="00BA4B33" w:rsidRPr="001E0710">
        <w:t xml:space="preserve"> […] </w:t>
      </w:r>
      <w:r w:rsidR="00526180" w:rsidRPr="001E0710">
        <w:t>A</w:t>
      </w:r>
      <w:r w:rsidR="00BA4B33" w:rsidRPr="001E0710">
        <w:t>ll three of them merge into a larger point about the devaluing of women's writing or women's place in literature, which is endemic, it just goes through everything.</w:t>
      </w:r>
    </w:p>
    <w:p w14:paraId="50A9A41B" w14:textId="1A1188C3" w:rsidR="00704C08" w:rsidRPr="001E0710" w:rsidRDefault="00000000" w:rsidP="001B6114">
      <w:pPr>
        <w:spacing w:line="360" w:lineRule="auto"/>
        <w:jc w:val="both"/>
        <w:rPr>
          <w:rFonts w:cs="Arial"/>
          <w:color w:val="000000" w:themeColor="text1"/>
          <w:szCs w:val="24"/>
        </w:rPr>
      </w:pPr>
      <w:r w:rsidRPr="0065313A">
        <w:rPr>
          <w:rStyle w:val="IntenseEmphasis"/>
        </w:rPr>
        <w:t>Drawing</w:t>
      </w:r>
      <w:r w:rsidR="00526180" w:rsidRPr="0065313A">
        <w:rPr>
          <w:rStyle w:val="IntenseEmphasis"/>
        </w:rPr>
        <w:t xml:space="preserve"> the</w:t>
      </w:r>
      <w:r w:rsidR="001B6114">
        <w:rPr>
          <w:rStyle w:val="IntenseEmphasis"/>
        </w:rPr>
        <w:t>se</w:t>
      </w:r>
      <w:r w:rsidRPr="0065313A">
        <w:rPr>
          <w:rStyle w:val="IntenseEmphasis"/>
        </w:rPr>
        <w:t xml:space="preserve"> threads together, the picture which emerges is one of an industry which </w:t>
      </w:r>
      <w:r w:rsidR="00526180" w:rsidRPr="0065313A">
        <w:rPr>
          <w:rStyle w:val="IntenseEmphasis"/>
        </w:rPr>
        <w:t xml:space="preserve">is overwhelmingly staffed by women but which </w:t>
      </w:r>
      <w:r w:rsidRPr="0065313A">
        <w:rPr>
          <w:rStyle w:val="IntenseEmphasis"/>
        </w:rPr>
        <w:t>does not value the labour of women as highly as that of men.</w:t>
      </w:r>
      <w:r w:rsidRPr="001E0710">
        <w:rPr>
          <w:rFonts w:cs="Arial"/>
          <w:color w:val="000000" w:themeColor="text1"/>
          <w:szCs w:val="24"/>
        </w:rPr>
        <w:t xml:space="preserve"> </w:t>
      </w:r>
      <w:r w:rsidR="00526180" w:rsidRPr="001E0710">
        <w:rPr>
          <w:rFonts w:cs="Arial"/>
          <w:color w:val="000000" w:themeColor="text1"/>
          <w:szCs w:val="24"/>
        </w:rPr>
        <w:t>However,</w:t>
      </w:r>
      <w:r w:rsidRPr="001E0710">
        <w:rPr>
          <w:rFonts w:cs="Arial"/>
          <w:color w:val="000000" w:themeColor="text1"/>
          <w:szCs w:val="24"/>
        </w:rPr>
        <w:t xml:space="preserve"> women do have some power in publishing</w:t>
      </w:r>
      <w:r w:rsidR="001B6114">
        <w:rPr>
          <w:rFonts w:cs="Arial"/>
          <w:color w:val="000000" w:themeColor="text1"/>
          <w:szCs w:val="24"/>
        </w:rPr>
        <w:t xml:space="preserve">: </w:t>
      </w:r>
      <w:r w:rsidR="001B6114" w:rsidRPr="001B6114">
        <w:t>Publishing Scotland</w:t>
      </w:r>
      <w:r w:rsidR="001B6114">
        <w:t xml:space="preserve"> </w:t>
      </w:r>
      <w:r w:rsidR="001B6114" w:rsidRPr="001B6114">
        <w:t>reports that 50% of Scottish publishing companies are run by women</w:t>
      </w:r>
      <w:r w:rsidRPr="001B6114">
        <w:t>.</w:t>
      </w:r>
      <w:r w:rsidR="001B6114" w:rsidRPr="00715DA1">
        <w:rPr>
          <w:rStyle w:val="FootnoteReference"/>
        </w:rPr>
        <w:footnoteReference w:id="50"/>
      </w:r>
      <w:r w:rsidRPr="001E0710">
        <w:rPr>
          <w:rFonts w:cs="Arial"/>
          <w:color w:val="000000" w:themeColor="text1"/>
          <w:szCs w:val="24"/>
        </w:rPr>
        <w:t xml:space="preserve"> Does it then follow </w:t>
      </w:r>
      <w:r w:rsidR="00526180" w:rsidRPr="001E0710">
        <w:rPr>
          <w:rFonts w:cs="Arial"/>
          <w:color w:val="000000" w:themeColor="text1"/>
          <w:szCs w:val="24"/>
        </w:rPr>
        <w:t xml:space="preserve">that it is </w:t>
      </w:r>
      <w:r w:rsidR="001B6114">
        <w:rPr>
          <w:rFonts w:cs="Arial"/>
          <w:color w:val="000000" w:themeColor="text1"/>
          <w:szCs w:val="24"/>
        </w:rPr>
        <w:t xml:space="preserve">(at least </w:t>
      </w:r>
      <w:r w:rsidR="00526180" w:rsidRPr="001E0710">
        <w:rPr>
          <w:rFonts w:cs="Arial"/>
          <w:color w:val="000000" w:themeColor="text1"/>
          <w:szCs w:val="24"/>
        </w:rPr>
        <w:t>partly</w:t>
      </w:r>
      <w:r w:rsidR="001B6114">
        <w:rPr>
          <w:rFonts w:cs="Arial"/>
          <w:color w:val="000000" w:themeColor="text1"/>
          <w:szCs w:val="24"/>
        </w:rPr>
        <w:t>)</w:t>
      </w:r>
      <w:r w:rsidRPr="001E0710">
        <w:rPr>
          <w:rFonts w:cs="Arial"/>
          <w:color w:val="000000" w:themeColor="text1"/>
          <w:szCs w:val="24"/>
        </w:rPr>
        <w:t xml:space="preserve"> women who are to blame for </w:t>
      </w:r>
      <w:r w:rsidR="00526180" w:rsidRPr="001E0710">
        <w:rPr>
          <w:rFonts w:cs="Arial"/>
          <w:color w:val="000000" w:themeColor="text1"/>
          <w:szCs w:val="24"/>
        </w:rPr>
        <w:t>inequality</w:t>
      </w:r>
      <w:r w:rsidRPr="001E0710">
        <w:rPr>
          <w:rFonts w:cs="Arial"/>
          <w:color w:val="000000" w:themeColor="text1"/>
          <w:szCs w:val="24"/>
        </w:rPr>
        <w:t xml:space="preserve">? </w:t>
      </w:r>
      <w:r w:rsidR="001B6114">
        <w:rPr>
          <w:rFonts w:cs="Arial"/>
          <w:color w:val="000000" w:themeColor="text1"/>
          <w:szCs w:val="24"/>
        </w:rPr>
        <w:t xml:space="preserve">For example, </w:t>
      </w:r>
      <w:r w:rsidR="00360D94" w:rsidRPr="001E0710">
        <w:rPr>
          <w:rFonts w:cs="Arial"/>
          <w:color w:val="000000" w:themeColor="text1"/>
          <w:szCs w:val="24"/>
        </w:rPr>
        <w:t xml:space="preserve">Peter, a white male </w:t>
      </w:r>
      <w:r w:rsidR="00266028">
        <w:rPr>
          <w:rFonts w:cs="Arial"/>
          <w:color w:val="000000" w:themeColor="text1"/>
          <w:szCs w:val="24"/>
        </w:rPr>
        <w:t>literary</w:t>
      </w:r>
      <w:r w:rsidR="00360D94" w:rsidRPr="001E0710">
        <w:rPr>
          <w:rFonts w:cs="Arial"/>
          <w:color w:val="000000" w:themeColor="text1"/>
          <w:szCs w:val="24"/>
        </w:rPr>
        <w:t xml:space="preserve"> festival director</w:t>
      </w:r>
      <w:r w:rsidR="001B6114">
        <w:rPr>
          <w:rFonts w:cs="Arial"/>
          <w:color w:val="000000" w:themeColor="text1"/>
          <w:szCs w:val="24"/>
        </w:rPr>
        <w:t xml:space="preserve"> </w:t>
      </w:r>
      <w:r w:rsidRPr="001E0710">
        <w:rPr>
          <w:rFonts w:cs="Arial"/>
          <w:color w:val="000000" w:themeColor="text1"/>
          <w:szCs w:val="24"/>
        </w:rPr>
        <w:t>shared this observation from his time working in publishing: “</w:t>
      </w:r>
      <w:r w:rsidR="00526180" w:rsidRPr="001E0710">
        <w:rPr>
          <w:rFonts w:cs="Arial"/>
          <w:color w:val="000000" w:themeColor="text1"/>
          <w:szCs w:val="24"/>
        </w:rPr>
        <w:t>T</w:t>
      </w:r>
      <w:r w:rsidRPr="001E0710">
        <w:rPr>
          <w:rFonts w:cs="Arial"/>
          <w:color w:val="000000" w:themeColor="text1"/>
          <w:szCs w:val="24"/>
        </w:rPr>
        <w:t>here's not many women sales directors, but all the other departments in a publishing house, especially editorial, is very female-heavy. It's always interesting that, you know, they wouldn't have perhaps gone to bat for more women writers</w:t>
      </w:r>
      <w:r w:rsidR="00D41088">
        <w:rPr>
          <w:rFonts w:cs="Arial"/>
          <w:color w:val="000000" w:themeColor="text1"/>
          <w:szCs w:val="24"/>
        </w:rPr>
        <w:t>.</w:t>
      </w:r>
      <w:r w:rsidRPr="001E0710">
        <w:rPr>
          <w:rFonts w:cs="Arial"/>
          <w:color w:val="000000" w:themeColor="text1"/>
          <w:szCs w:val="24"/>
        </w:rPr>
        <w:t xml:space="preserve">” </w:t>
      </w:r>
      <w:r w:rsidR="0065313A">
        <w:rPr>
          <w:rFonts w:cs="Arial"/>
          <w:color w:val="000000" w:themeColor="text1"/>
          <w:szCs w:val="24"/>
        </w:rPr>
        <w:t>Interestingly, i</w:t>
      </w:r>
      <w:r w:rsidR="00526180" w:rsidRPr="001E0710">
        <w:rPr>
          <w:rFonts w:cs="Arial"/>
          <w:color w:val="000000" w:themeColor="text1"/>
          <w:szCs w:val="24"/>
        </w:rPr>
        <w:t xml:space="preserve">n </w:t>
      </w:r>
      <w:r w:rsidRPr="001E0710">
        <w:rPr>
          <w:rFonts w:cs="Arial"/>
          <w:color w:val="000000" w:themeColor="text1"/>
          <w:szCs w:val="24"/>
        </w:rPr>
        <w:t xml:space="preserve">the example of </w:t>
      </w:r>
      <w:r w:rsidR="00C47EE5" w:rsidRPr="001E0710">
        <w:rPr>
          <w:rFonts w:cs="Arial"/>
          <w:color w:val="000000" w:themeColor="text1"/>
          <w:szCs w:val="24"/>
        </w:rPr>
        <w:t>Claudia</w:t>
      </w:r>
      <w:r w:rsidRPr="001E0710">
        <w:rPr>
          <w:rFonts w:cs="Arial"/>
          <w:color w:val="000000" w:themeColor="text1"/>
          <w:szCs w:val="24"/>
        </w:rPr>
        <w:t xml:space="preserve"> above, </w:t>
      </w:r>
      <w:r w:rsidR="00526180" w:rsidRPr="001E0710">
        <w:rPr>
          <w:rFonts w:cs="Arial"/>
          <w:color w:val="000000" w:themeColor="text1"/>
          <w:szCs w:val="24"/>
        </w:rPr>
        <w:t xml:space="preserve">a woman </w:t>
      </w:r>
      <w:r w:rsidRPr="001E0710">
        <w:rPr>
          <w:rFonts w:cs="Arial"/>
          <w:color w:val="000000" w:themeColor="text1"/>
          <w:szCs w:val="24"/>
        </w:rPr>
        <w:t>did advocate for herself to be put forward for an award and was stopped by her employer.</w:t>
      </w:r>
    </w:p>
    <w:p w14:paraId="17097A8D" w14:textId="3C9A5FCE" w:rsidR="00704C08" w:rsidRPr="001E0710" w:rsidRDefault="003F6A1C" w:rsidP="0024460A">
      <w:pPr>
        <w:spacing w:line="360" w:lineRule="auto"/>
        <w:ind w:firstLine="720"/>
        <w:jc w:val="both"/>
        <w:rPr>
          <w:rFonts w:cs="Arial"/>
          <w:color w:val="000000" w:themeColor="text1"/>
          <w:szCs w:val="24"/>
        </w:rPr>
      </w:pPr>
      <w:r w:rsidRPr="001E0710">
        <w:rPr>
          <w:rFonts w:cs="Arial"/>
          <w:color w:val="000000" w:themeColor="text1"/>
          <w:szCs w:val="24"/>
        </w:rPr>
        <w:t xml:space="preserve">Daniela, the bookshop owner, </w:t>
      </w:r>
      <w:r w:rsidR="00526180" w:rsidRPr="001E0710">
        <w:rPr>
          <w:rFonts w:cs="Arial"/>
          <w:color w:val="000000" w:themeColor="text1"/>
          <w:szCs w:val="24"/>
        </w:rPr>
        <w:t xml:space="preserve">described the way women may unwittingly perpetuate hierarchies. She pointed out that, in an environment where there are mostly male authority figures and where “a universal voice that is male” is thought to be valuable, “then to be taken seriously you are inevitably going to feel like you have to behave or edit or select or sell the way that a man would. </w:t>
      </w:r>
      <w:r w:rsidR="00526180" w:rsidRPr="001E0710">
        <w:rPr>
          <w:rFonts w:ascii="Symbol" w:eastAsia="Symbol" w:hAnsi="Symbol" w:cs="Symbol"/>
          <w:color w:val="000000" w:themeColor="text1"/>
          <w:szCs w:val="24"/>
        </w:rPr>
        <w:t>[</w:t>
      </w:r>
      <w:r w:rsidR="00526180" w:rsidRPr="001E0710">
        <w:rPr>
          <w:rFonts w:cs="Arial"/>
          <w:color w:val="000000" w:themeColor="text1"/>
          <w:szCs w:val="24"/>
        </w:rPr>
        <w:t>…W</w:t>
      </w:r>
      <w:r w:rsidR="00526180" w:rsidRPr="001E0710">
        <w:rPr>
          <w:rFonts w:ascii="Symbol" w:eastAsia="Symbol" w:hAnsi="Symbol" w:cs="Symbol"/>
          <w:color w:val="000000" w:themeColor="text1"/>
          <w:szCs w:val="24"/>
        </w:rPr>
        <w:t>]</w:t>
      </w:r>
      <w:r w:rsidR="00526180" w:rsidRPr="001E0710">
        <w:rPr>
          <w:rFonts w:cs="Arial"/>
          <w:color w:val="000000" w:themeColor="text1"/>
          <w:szCs w:val="24"/>
        </w:rPr>
        <w:t>e self-censor, we don’t want to look like the woman who is choosing other women because they’re women</w:t>
      </w:r>
      <w:r w:rsidR="00D41088">
        <w:rPr>
          <w:rFonts w:cs="Arial"/>
          <w:color w:val="000000" w:themeColor="text1"/>
          <w:szCs w:val="24"/>
        </w:rPr>
        <w:t>.</w:t>
      </w:r>
      <w:r w:rsidR="00526180" w:rsidRPr="001E0710">
        <w:rPr>
          <w:rFonts w:cs="Arial"/>
          <w:color w:val="000000" w:themeColor="text1"/>
          <w:szCs w:val="24"/>
        </w:rPr>
        <w:t xml:space="preserve">” </w:t>
      </w:r>
    </w:p>
    <w:p w14:paraId="61AF256C" w14:textId="64889E34" w:rsidR="00704C08" w:rsidRPr="0065313A" w:rsidRDefault="00000000" w:rsidP="0024460A">
      <w:pPr>
        <w:spacing w:line="360" w:lineRule="auto"/>
        <w:ind w:firstLine="720"/>
        <w:jc w:val="both"/>
        <w:rPr>
          <w:rStyle w:val="IntenseEmphasis"/>
        </w:rPr>
      </w:pPr>
      <w:r w:rsidRPr="0065313A">
        <w:rPr>
          <w:rStyle w:val="IntenseEmphasis"/>
        </w:rPr>
        <w:t>Women cannot alone be responsible for addressing inequality in the publishing industry</w:t>
      </w:r>
      <w:r w:rsidR="00526180" w:rsidRPr="0065313A">
        <w:rPr>
          <w:rStyle w:val="IntenseEmphasis"/>
        </w:rPr>
        <w:t>. T</w:t>
      </w:r>
      <w:r w:rsidRPr="0065313A">
        <w:rPr>
          <w:rStyle w:val="IntenseEmphasis"/>
        </w:rPr>
        <w:t xml:space="preserve">hey hold </w:t>
      </w:r>
      <w:r w:rsidR="0065313A" w:rsidRPr="0065313A">
        <w:rPr>
          <w:rStyle w:val="IntenseEmphasis"/>
        </w:rPr>
        <w:t>little</w:t>
      </w:r>
      <w:r w:rsidRPr="0065313A">
        <w:rPr>
          <w:rStyle w:val="IntenseEmphasis"/>
        </w:rPr>
        <w:t xml:space="preserve"> structural advantage</w:t>
      </w:r>
      <w:r w:rsidR="001B6114">
        <w:rPr>
          <w:rStyle w:val="IntenseEmphasis"/>
        </w:rPr>
        <w:t>, and even where they do,</w:t>
      </w:r>
      <w:r w:rsidRPr="0065313A">
        <w:rPr>
          <w:rStyle w:val="IntenseEmphasis"/>
        </w:rPr>
        <w:t xml:space="preserve"> their capacity – their resources, energy</w:t>
      </w:r>
      <w:r w:rsidR="00526180" w:rsidRPr="0065313A">
        <w:rPr>
          <w:rStyle w:val="IntenseEmphasis"/>
        </w:rPr>
        <w:t xml:space="preserve"> and</w:t>
      </w:r>
      <w:r w:rsidRPr="0065313A">
        <w:rPr>
          <w:rStyle w:val="IntenseEmphasis"/>
        </w:rPr>
        <w:t xml:space="preserve"> focus – is limited by the harassment and </w:t>
      </w:r>
      <w:r w:rsidR="00526180" w:rsidRPr="0065313A">
        <w:rPr>
          <w:rStyle w:val="IntenseEmphasis"/>
        </w:rPr>
        <w:t xml:space="preserve">the </w:t>
      </w:r>
      <w:r w:rsidRPr="0065313A">
        <w:rPr>
          <w:rStyle w:val="IntenseEmphasis"/>
        </w:rPr>
        <w:t>devaluing they face.</w:t>
      </w:r>
    </w:p>
    <w:p w14:paraId="173B94E7" w14:textId="77777777" w:rsidR="00704C08" w:rsidRPr="001E0710" w:rsidRDefault="00000000" w:rsidP="001E678E">
      <w:pPr>
        <w:pStyle w:val="Heading2"/>
        <w:rPr>
          <w:rFonts w:cs="Arial"/>
        </w:rPr>
      </w:pPr>
      <w:bookmarkStart w:id="48" w:name="_Toc180580136"/>
      <w:bookmarkStart w:id="49" w:name="_Toc195538162"/>
      <w:r w:rsidRPr="001E0710">
        <w:rPr>
          <w:rFonts w:cs="Arial"/>
        </w:rPr>
        <w:lastRenderedPageBreak/>
        <w:t>Awareness is not the same as action</w:t>
      </w:r>
      <w:bookmarkEnd w:id="48"/>
      <w:bookmarkEnd w:id="49"/>
    </w:p>
    <w:p w14:paraId="63CC0E46" w14:textId="090B44F9" w:rsidR="00A62D47" w:rsidRPr="001E0710" w:rsidRDefault="00526180" w:rsidP="0024460A">
      <w:pPr>
        <w:spacing w:line="360" w:lineRule="auto"/>
        <w:jc w:val="both"/>
        <w:rPr>
          <w:rFonts w:cs="Arial"/>
          <w:szCs w:val="24"/>
        </w:rPr>
      </w:pPr>
      <w:r w:rsidRPr="001E0710">
        <w:rPr>
          <w:rFonts w:cs="Arial"/>
          <w:szCs w:val="24"/>
        </w:rPr>
        <w:t>The tastemakers I interviewed all demonstrated that they were aware of structural inequality. However, “</w:t>
      </w:r>
      <w:r w:rsidRPr="0024460A">
        <w:rPr>
          <w:rFonts w:ascii="Symbol" w:eastAsia="Symbol" w:hAnsi="Symbol" w:cs="Symbol"/>
          <w:i/>
          <w:iCs/>
          <w:szCs w:val="24"/>
        </w:rPr>
        <w:t>[</w:t>
      </w:r>
      <w:r w:rsidRPr="0024460A">
        <w:rPr>
          <w:rFonts w:cs="Arial"/>
          <w:i/>
          <w:iCs/>
          <w:szCs w:val="24"/>
        </w:rPr>
        <w:t>r</w:t>
      </w:r>
      <w:r w:rsidRPr="0024460A">
        <w:rPr>
          <w:rFonts w:ascii="Symbol" w:eastAsia="Symbol" w:hAnsi="Symbol" w:cs="Symbol"/>
          <w:i/>
          <w:iCs/>
          <w:szCs w:val="24"/>
        </w:rPr>
        <w:t>]</w:t>
      </w:r>
      <w:r w:rsidRPr="0024460A">
        <w:rPr>
          <w:rFonts w:cs="Arial"/>
          <w:i/>
          <w:iCs/>
          <w:szCs w:val="24"/>
        </w:rPr>
        <w:t xml:space="preserve">ecognising </w:t>
      </w:r>
      <w:r w:rsidRPr="001E0710">
        <w:rPr>
          <w:rFonts w:cs="Arial"/>
          <w:szCs w:val="24"/>
        </w:rPr>
        <w:t>inequality is not enough to ensure social change.”</w:t>
      </w:r>
      <w:r w:rsidR="00684D21" w:rsidRPr="00715DA1">
        <w:rPr>
          <w:rStyle w:val="FootnoteReference"/>
        </w:rPr>
        <w:footnoteReference w:id="51"/>
      </w:r>
      <w:r w:rsidR="00A62D47" w:rsidRPr="001E0710">
        <w:rPr>
          <w:rFonts w:cs="Arial"/>
          <w:szCs w:val="24"/>
        </w:rPr>
        <w:t xml:space="preserve"> </w:t>
      </w:r>
      <w:r w:rsidRPr="001E0710">
        <w:rPr>
          <w:rFonts w:cs="Arial"/>
          <w:szCs w:val="24"/>
        </w:rPr>
        <w:t xml:space="preserve">In fact, Sobande’s research </w:t>
      </w:r>
      <w:r w:rsidR="001B6114">
        <w:rPr>
          <w:rFonts w:cs="Arial"/>
          <w:szCs w:val="24"/>
        </w:rPr>
        <w:t>shows</w:t>
      </w:r>
      <w:r w:rsidRPr="001E0710">
        <w:rPr>
          <w:rFonts w:cs="Arial"/>
          <w:szCs w:val="24"/>
        </w:rPr>
        <w:t xml:space="preserve"> that sometimes the appearance of awareness could be detrimental, showing how “brands (mis)use issues concerning commercialised notions of feminism, equality and Black social justice activism as part of marketing […] rather than structural shifts and resistance.”</w:t>
      </w:r>
      <w:r w:rsidR="00684D21" w:rsidRPr="00715DA1">
        <w:rPr>
          <w:rStyle w:val="FootnoteReference"/>
        </w:rPr>
        <w:footnoteReference w:id="52"/>
      </w:r>
    </w:p>
    <w:p w14:paraId="264C81A7" w14:textId="1061CA85" w:rsidR="00704C08" w:rsidRPr="001E0710" w:rsidRDefault="00000000" w:rsidP="0024460A">
      <w:pPr>
        <w:spacing w:line="360" w:lineRule="auto"/>
        <w:ind w:firstLine="720"/>
        <w:jc w:val="both"/>
        <w:rPr>
          <w:rFonts w:cs="Arial"/>
          <w:szCs w:val="24"/>
        </w:rPr>
      </w:pPr>
      <w:r w:rsidRPr="001E0710">
        <w:rPr>
          <w:rFonts w:cs="Arial"/>
          <w:szCs w:val="24"/>
        </w:rPr>
        <w:t>Four literature professionals associated with several literary festivals demonstrated their awareness of gender inequality issues, and spoke of the various ways they had taken action.</w:t>
      </w:r>
    </w:p>
    <w:p w14:paraId="60169E8F" w14:textId="12A2FD6D" w:rsidR="00704C08" w:rsidRPr="001E0710" w:rsidRDefault="00000000" w:rsidP="0024460A">
      <w:pPr>
        <w:spacing w:line="360" w:lineRule="auto"/>
        <w:ind w:firstLine="720"/>
        <w:jc w:val="both"/>
        <w:rPr>
          <w:rFonts w:cs="Arial"/>
          <w:szCs w:val="24"/>
        </w:rPr>
      </w:pPr>
      <w:r w:rsidRPr="001E0710">
        <w:rPr>
          <w:rFonts w:cs="Arial"/>
          <w:szCs w:val="24"/>
        </w:rPr>
        <w:t xml:space="preserve">As part of advancing gender equality at </w:t>
      </w:r>
      <w:r w:rsidR="001D09B7" w:rsidRPr="001E0710">
        <w:rPr>
          <w:rFonts w:cs="Arial"/>
          <w:szCs w:val="24"/>
        </w:rPr>
        <w:t>his festival</w:t>
      </w:r>
      <w:r w:rsidRPr="001E0710">
        <w:rPr>
          <w:rFonts w:cs="Arial"/>
          <w:szCs w:val="24"/>
        </w:rPr>
        <w:t xml:space="preserve">, </w:t>
      </w:r>
      <w:r w:rsidR="001D09B7" w:rsidRPr="001E0710">
        <w:rPr>
          <w:rFonts w:cs="Arial"/>
          <w:szCs w:val="24"/>
        </w:rPr>
        <w:t>Dean</w:t>
      </w:r>
      <w:r w:rsidRPr="001E0710">
        <w:rPr>
          <w:rFonts w:cs="Arial"/>
          <w:szCs w:val="24"/>
        </w:rPr>
        <w:t xml:space="preserve"> </w:t>
      </w:r>
      <w:r w:rsidRPr="001E0710">
        <w:rPr>
          <w:rFonts w:cs="Arial"/>
          <w:color w:val="000000" w:themeColor="text1"/>
          <w:szCs w:val="24"/>
        </w:rPr>
        <w:t>credits changing the framing of events: “The improvement is not because of inviting more women, because we've always invited lots of women, but by changing the frameworks and the structures of the events that we create in order to be less gendered in their approach</w:t>
      </w:r>
      <w:r w:rsidR="00D41088">
        <w:rPr>
          <w:rFonts w:cs="Arial"/>
          <w:color w:val="000000" w:themeColor="text1"/>
          <w:szCs w:val="24"/>
        </w:rPr>
        <w:t>.”</w:t>
      </w:r>
      <w:r w:rsidRPr="001E0710">
        <w:rPr>
          <w:rFonts w:cs="Arial"/>
          <w:color w:val="000000" w:themeColor="text1"/>
          <w:szCs w:val="24"/>
        </w:rPr>
        <w:t xml:space="preserve"> </w:t>
      </w:r>
      <w:r w:rsidR="001D09B7" w:rsidRPr="001E0710">
        <w:rPr>
          <w:rFonts w:cs="Arial"/>
          <w:color w:val="000000" w:themeColor="text1"/>
          <w:szCs w:val="24"/>
        </w:rPr>
        <w:t xml:space="preserve">Dean </w:t>
      </w:r>
      <w:r w:rsidRPr="001E0710">
        <w:rPr>
          <w:rFonts w:cs="Arial"/>
          <w:color w:val="000000" w:themeColor="text1"/>
          <w:szCs w:val="24"/>
        </w:rPr>
        <w:t xml:space="preserve">noted that events had often been framed as debates, with participants taking opposing sides, which was changed to a more collaborative model of author conversation. </w:t>
      </w:r>
      <w:r w:rsidR="001D09B7" w:rsidRPr="001E0710">
        <w:rPr>
          <w:rFonts w:cs="Arial"/>
          <w:color w:val="000000" w:themeColor="text1"/>
          <w:szCs w:val="24"/>
        </w:rPr>
        <w:t xml:space="preserve">Dean </w:t>
      </w:r>
      <w:r w:rsidRPr="001E0710">
        <w:rPr>
          <w:rFonts w:cs="Arial"/>
          <w:color w:val="000000" w:themeColor="text1"/>
          <w:szCs w:val="24"/>
        </w:rPr>
        <w:t>also highlighted programming of thematic strands, which</w:t>
      </w:r>
      <w:r w:rsidR="00526180" w:rsidRPr="001E0710">
        <w:rPr>
          <w:rFonts w:cs="Arial"/>
          <w:color w:val="000000" w:themeColor="text1"/>
          <w:szCs w:val="24"/>
        </w:rPr>
        <w:t xml:space="preserve"> </w:t>
      </w:r>
      <w:r w:rsidRPr="001E0710">
        <w:rPr>
          <w:rFonts w:cs="Arial"/>
          <w:color w:val="000000" w:themeColor="text1"/>
          <w:szCs w:val="24"/>
        </w:rPr>
        <w:t>were “much closer to my personal and organisational philosophical beliefs than it’s possible to be in the overall programme”</w:t>
      </w:r>
      <w:r w:rsidR="00A62D47" w:rsidRPr="001E0710">
        <w:rPr>
          <w:rFonts w:cs="Arial"/>
          <w:color w:val="000000" w:themeColor="text1"/>
          <w:szCs w:val="24"/>
        </w:rPr>
        <w:t>,</w:t>
      </w:r>
      <w:r w:rsidRPr="001E0710">
        <w:rPr>
          <w:rFonts w:cs="Arial"/>
          <w:color w:val="000000" w:themeColor="text1"/>
          <w:szCs w:val="24"/>
        </w:rPr>
        <w:t xml:space="preserve"> allowing them to be more balanced and less reliant on publisher co-funding</w:t>
      </w:r>
      <w:r w:rsidR="00526180" w:rsidRPr="001E0710">
        <w:rPr>
          <w:rFonts w:cs="Arial"/>
          <w:color w:val="000000" w:themeColor="text1"/>
          <w:szCs w:val="24"/>
        </w:rPr>
        <w:t xml:space="preserve"> (as discussed above).</w:t>
      </w:r>
    </w:p>
    <w:p w14:paraId="5ECDCB4F" w14:textId="2FAD61AD" w:rsidR="00704C08" w:rsidRPr="001E0710" w:rsidRDefault="00000000" w:rsidP="0024460A">
      <w:pPr>
        <w:spacing w:line="360" w:lineRule="auto"/>
        <w:jc w:val="both"/>
        <w:rPr>
          <w:rFonts w:cs="Arial"/>
          <w:color w:val="000000" w:themeColor="text1"/>
        </w:rPr>
      </w:pPr>
      <w:r w:rsidRPr="001E0710">
        <w:rPr>
          <w:rFonts w:cs="Arial"/>
          <w:color w:val="000000" w:themeColor="text1"/>
          <w:szCs w:val="24"/>
        </w:rPr>
        <w:tab/>
      </w:r>
      <w:r w:rsidR="00360D94" w:rsidRPr="001E0710">
        <w:rPr>
          <w:rFonts w:cs="Arial"/>
          <w:color w:val="000000" w:themeColor="text1"/>
          <w:szCs w:val="24"/>
        </w:rPr>
        <w:t xml:space="preserve">Peter </w:t>
      </w:r>
      <w:r w:rsidRPr="001E0710">
        <w:rPr>
          <w:rFonts w:cs="Arial"/>
          <w:color w:val="000000" w:themeColor="text1"/>
          <w:szCs w:val="24"/>
        </w:rPr>
        <w:t xml:space="preserve">spoke about gender balance at </w:t>
      </w:r>
      <w:r w:rsidR="00360D94" w:rsidRPr="001E0710">
        <w:rPr>
          <w:rFonts w:cs="Arial"/>
          <w:color w:val="000000" w:themeColor="text1"/>
          <w:szCs w:val="24"/>
        </w:rPr>
        <w:t>his festival</w:t>
      </w:r>
      <w:r w:rsidRPr="001E0710">
        <w:rPr>
          <w:rFonts w:cs="Arial"/>
          <w:color w:val="000000" w:themeColor="text1"/>
          <w:szCs w:val="24"/>
        </w:rPr>
        <w:t>, noting that it had improved markedly since the festival’s early days, when</w:t>
      </w:r>
      <w:r w:rsidR="00AC65D2" w:rsidRPr="001E0710">
        <w:rPr>
          <w:rFonts w:cs="Arial"/>
          <w:color w:val="000000" w:themeColor="text1"/>
          <w:szCs w:val="24"/>
        </w:rPr>
        <w:t xml:space="preserve"> </w:t>
      </w:r>
      <w:r w:rsidRPr="001E0710">
        <w:rPr>
          <w:rFonts w:cs="Arial"/>
          <w:color w:val="000000" w:themeColor="text1"/>
          <w:szCs w:val="24"/>
        </w:rPr>
        <w:t xml:space="preserve">“it was twice as many men as women on the programme”. </w:t>
      </w:r>
      <w:r w:rsidR="00360D94" w:rsidRPr="001E0710">
        <w:rPr>
          <w:rFonts w:cs="Arial"/>
          <w:color w:val="000000" w:themeColor="text1"/>
        </w:rPr>
        <w:t xml:space="preserve">Peter </w:t>
      </w:r>
      <w:r w:rsidRPr="001E0710">
        <w:rPr>
          <w:rFonts w:cs="Arial"/>
          <w:color w:val="000000" w:themeColor="text1"/>
        </w:rPr>
        <w:t xml:space="preserve">told me that </w:t>
      </w:r>
      <w:r w:rsidR="00360D94" w:rsidRPr="001E0710">
        <w:rPr>
          <w:rFonts w:cs="Arial"/>
          <w:color w:val="000000" w:themeColor="text1"/>
        </w:rPr>
        <w:t>his festival</w:t>
      </w:r>
      <w:r w:rsidRPr="001E0710">
        <w:rPr>
          <w:rFonts w:cs="Arial"/>
          <w:color w:val="000000" w:themeColor="text1"/>
        </w:rPr>
        <w:t xml:space="preserve">’s steering group was reluctant to implement a 50:50 gender split goal for its programme, despite it being, in </w:t>
      </w:r>
      <w:r w:rsidR="00360D94" w:rsidRPr="001E0710">
        <w:rPr>
          <w:rFonts w:cs="Arial"/>
          <w:color w:val="000000" w:themeColor="text1"/>
        </w:rPr>
        <w:t xml:space="preserve">Peter’s </w:t>
      </w:r>
      <w:r w:rsidRPr="001E0710">
        <w:rPr>
          <w:rFonts w:cs="Arial"/>
          <w:color w:val="000000" w:themeColor="text1"/>
        </w:rPr>
        <w:t>own estimation, an easy goal to reach. The group felt that it would not be right to have a quota for gender and not for other characteristics: “</w:t>
      </w:r>
      <w:r w:rsidR="00AC65D2" w:rsidRPr="001E0710">
        <w:rPr>
          <w:rFonts w:cs="Arial"/>
          <w:color w:val="000000" w:themeColor="text1"/>
        </w:rPr>
        <w:t>I</w:t>
      </w:r>
      <w:r w:rsidRPr="001E0710">
        <w:rPr>
          <w:rFonts w:cs="Arial"/>
          <w:color w:val="000000" w:themeColor="text1"/>
        </w:rPr>
        <w:t xml:space="preserve">t’s intersectionality, so it’s, what are we doing about LGBT writers, what are we doing about working-class writers, what are we doing about writers of colour, and what are we doing about gender balance. </w:t>
      </w:r>
      <w:r w:rsidRPr="001E0710">
        <w:rPr>
          <w:rFonts w:cs="Arial"/>
          <w:color w:val="000000" w:themeColor="text1"/>
        </w:rPr>
        <w:lastRenderedPageBreak/>
        <w:t>We thought, you can't say, we're going to have a target for gender and not for anything else</w:t>
      </w:r>
      <w:r w:rsidR="00D41088">
        <w:rPr>
          <w:rFonts w:cs="Arial"/>
          <w:color w:val="000000" w:themeColor="text1"/>
        </w:rPr>
        <w:t>.</w:t>
      </w:r>
      <w:r w:rsidRPr="001E0710">
        <w:rPr>
          <w:rFonts w:cs="Arial"/>
          <w:color w:val="000000" w:themeColor="text1"/>
        </w:rPr>
        <w:t>”</w:t>
      </w:r>
    </w:p>
    <w:p w14:paraId="17FD7D1A" w14:textId="2D5EAA50" w:rsidR="00704C08" w:rsidRPr="001E0710" w:rsidRDefault="007F77DF" w:rsidP="0024460A">
      <w:pPr>
        <w:spacing w:line="360" w:lineRule="auto"/>
        <w:ind w:firstLine="720"/>
        <w:jc w:val="both"/>
        <w:rPr>
          <w:rFonts w:cs="Arial"/>
          <w:color w:val="000000" w:themeColor="text1"/>
        </w:rPr>
      </w:pPr>
      <w:r w:rsidRPr="001E0710">
        <w:rPr>
          <w:rFonts w:cs="Arial"/>
          <w:color w:val="000000" w:themeColor="text1"/>
        </w:rPr>
        <w:t xml:space="preserve">Natasha, a white female </w:t>
      </w:r>
      <w:r w:rsidR="00266028">
        <w:rPr>
          <w:rFonts w:cs="Arial"/>
          <w:color w:val="000000" w:themeColor="text1"/>
        </w:rPr>
        <w:t>literary</w:t>
      </w:r>
      <w:r w:rsidRPr="001E0710">
        <w:rPr>
          <w:rFonts w:cs="Arial"/>
          <w:color w:val="000000" w:themeColor="text1"/>
        </w:rPr>
        <w:t xml:space="preserve"> festival programmer, </w:t>
      </w:r>
      <w:r w:rsidR="00AC65D2" w:rsidRPr="001E0710">
        <w:rPr>
          <w:rFonts w:cs="Arial"/>
          <w:color w:val="000000" w:themeColor="text1"/>
        </w:rPr>
        <w:t xml:space="preserve">explained </w:t>
      </w:r>
      <w:r w:rsidRPr="001E0710">
        <w:rPr>
          <w:rFonts w:cs="Arial"/>
          <w:color w:val="000000" w:themeColor="text1"/>
        </w:rPr>
        <w:t xml:space="preserve">that her festival’s programme actively </w:t>
      </w:r>
      <w:r w:rsidR="00AC65D2" w:rsidRPr="001E0710">
        <w:rPr>
          <w:rFonts w:cs="Arial"/>
          <w:color w:val="000000" w:themeColor="text1"/>
        </w:rPr>
        <w:t>considers</w:t>
      </w:r>
      <w:r w:rsidRPr="001E0710">
        <w:rPr>
          <w:rFonts w:cs="Arial"/>
          <w:color w:val="000000" w:themeColor="text1"/>
        </w:rPr>
        <w:t xml:space="preserve"> </w:t>
      </w:r>
      <w:r w:rsidR="001B6114">
        <w:rPr>
          <w:rFonts w:cs="Arial"/>
          <w:color w:val="000000" w:themeColor="text1"/>
        </w:rPr>
        <w:t xml:space="preserve">multiple axes of </w:t>
      </w:r>
      <w:r w:rsidRPr="001E0710">
        <w:rPr>
          <w:rFonts w:cs="Arial"/>
          <w:color w:val="000000" w:themeColor="text1"/>
        </w:rPr>
        <w:t>representatio</w:t>
      </w:r>
      <w:r w:rsidR="00AC65D2" w:rsidRPr="001E0710">
        <w:rPr>
          <w:rFonts w:cs="Arial"/>
          <w:color w:val="000000" w:themeColor="text1"/>
        </w:rPr>
        <w:t>n.</w:t>
      </w:r>
      <w:r w:rsidRPr="001E0710">
        <w:rPr>
          <w:rFonts w:cs="Arial"/>
          <w:color w:val="000000" w:themeColor="text1"/>
        </w:rPr>
        <w:t xml:space="preserve"> </w:t>
      </w:r>
      <w:r w:rsidR="00AC65D2" w:rsidRPr="001E0710">
        <w:rPr>
          <w:rFonts w:cs="Arial"/>
          <w:color w:val="000000" w:themeColor="text1"/>
        </w:rPr>
        <w:t xml:space="preserve">She said </w:t>
      </w:r>
      <w:r w:rsidRPr="001E0710">
        <w:rPr>
          <w:rFonts w:cs="Arial"/>
          <w:color w:val="000000" w:themeColor="text1"/>
        </w:rPr>
        <w:t>that</w:t>
      </w:r>
      <w:r w:rsidR="00AC65D2" w:rsidRPr="001E0710">
        <w:rPr>
          <w:rFonts w:cs="Arial"/>
          <w:color w:val="000000" w:themeColor="text1"/>
        </w:rPr>
        <w:t>,</w:t>
      </w:r>
      <w:r w:rsidRPr="001E0710">
        <w:rPr>
          <w:rFonts w:cs="Arial"/>
          <w:color w:val="000000" w:themeColor="text1"/>
        </w:rPr>
        <w:t xml:space="preserve"> while this was about diversity and inclusivity, it was also about “doing the artform justice”</w:t>
      </w:r>
      <w:r w:rsidR="00AC65D2" w:rsidRPr="001E0710">
        <w:rPr>
          <w:rFonts w:cs="Arial"/>
          <w:color w:val="000000" w:themeColor="text1"/>
        </w:rPr>
        <w:t>.</w:t>
      </w:r>
      <w:r w:rsidRPr="001E0710">
        <w:rPr>
          <w:rFonts w:cs="Arial"/>
          <w:color w:val="000000" w:themeColor="text1"/>
        </w:rPr>
        <w:t xml:space="preserve"> “</w:t>
      </w:r>
      <w:r w:rsidR="00AC65D2" w:rsidRPr="001E0710">
        <w:rPr>
          <w:rFonts w:cs="Arial"/>
          <w:color w:val="000000" w:themeColor="text1"/>
        </w:rPr>
        <w:t>W</w:t>
      </w:r>
      <w:r w:rsidRPr="001E0710">
        <w:rPr>
          <w:rFonts w:cs="Arial"/>
          <w:color w:val="000000" w:themeColor="text1"/>
        </w:rPr>
        <w:t>hat I would say whenever people are like, ‘really, you count them?’ is that so many strands of [the artform] come from the BAME community or the queer community, and we're not actually representing [the artform] properly if we don't represent those communities properly</w:t>
      </w:r>
      <w:r w:rsidR="00D41088">
        <w:rPr>
          <w:rFonts w:cs="Arial"/>
          <w:color w:val="000000" w:themeColor="text1"/>
        </w:rPr>
        <w:t>.</w:t>
      </w:r>
      <w:r w:rsidRPr="001E0710">
        <w:rPr>
          <w:rFonts w:cs="Arial"/>
          <w:color w:val="000000" w:themeColor="text1"/>
        </w:rPr>
        <w:t xml:space="preserve">” </w:t>
      </w:r>
      <w:r w:rsidR="005C5310" w:rsidRPr="001E0710">
        <w:rPr>
          <w:rFonts w:cs="Arial"/>
          <w:color w:val="000000" w:themeColor="text1"/>
        </w:rPr>
        <w:t xml:space="preserve">Charlotte, a white female director at the same </w:t>
      </w:r>
      <w:r w:rsidR="00266028">
        <w:rPr>
          <w:rFonts w:cs="Arial"/>
          <w:color w:val="000000" w:themeColor="text1"/>
        </w:rPr>
        <w:t>literary</w:t>
      </w:r>
      <w:r w:rsidR="005C5310" w:rsidRPr="001E0710">
        <w:rPr>
          <w:rFonts w:cs="Arial"/>
          <w:color w:val="000000" w:themeColor="text1"/>
        </w:rPr>
        <w:t xml:space="preserve"> festival, </w:t>
      </w:r>
      <w:r w:rsidRPr="001E0710">
        <w:rPr>
          <w:rFonts w:cs="Arial"/>
          <w:color w:val="000000" w:themeColor="text1"/>
        </w:rPr>
        <w:t>shared more about the process for implementing the festival’s commitment to diversity:</w:t>
      </w:r>
    </w:p>
    <w:p w14:paraId="72B51B65" w14:textId="7C4B55C6" w:rsidR="00A62D47" w:rsidRPr="0024460A" w:rsidRDefault="00000000" w:rsidP="0024460A">
      <w:pPr>
        <w:pStyle w:val="Quote"/>
      </w:pPr>
      <w:r w:rsidRPr="0024460A">
        <w:t xml:space="preserve">I keep in mind when we're doing the kind of outline planning to make sure we've got not just gender balance, but a balance across all the various diversities </w:t>
      </w:r>
      <w:r w:rsidR="00AC65D2" w:rsidRPr="0024460A">
        <w:t>[…]</w:t>
      </w:r>
      <w:r w:rsidRPr="0024460A">
        <w:t xml:space="preserve">. But nearer the time, I actually do, I count up. And I say, you know, How many, how many Scottish? How many </w:t>
      </w:r>
      <w:r w:rsidR="00266028">
        <w:t>of different ethnicity</w:t>
      </w:r>
      <w:r w:rsidRPr="0024460A">
        <w:t xml:space="preserve"> or not-white, how many speaking a different language, you know, so I do that to make sure that we have balance. </w:t>
      </w:r>
    </w:p>
    <w:p w14:paraId="21FF596F" w14:textId="3BA29839" w:rsidR="00704C08" w:rsidRDefault="00000000" w:rsidP="001B6114">
      <w:pPr>
        <w:spacing w:line="360" w:lineRule="auto"/>
        <w:jc w:val="both"/>
        <w:rPr>
          <w:rFonts w:cs="Arial"/>
          <w:szCs w:val="24"/>
        </w:rPr>
      </w:pPr>
      <w:r w:rsidRPr="001E0710">
        <w:rPr>
          <w:rFonts w:cs="Arial"/>
          <w:szCs w:val="24"/>
        </w:rPr>
        <w:t xml:space="preserve">It perhaps feels obvious to say, but if more men are programmed then more men get paid, both through receiving a speaking fee and through event-associated book sales. Further, </w:t>
      </w:r>
      <w:r w:rsidRPr="00AF09A1">
        <w:rPr>
          <w:rStyle w:val="IntenseEmphasis"/>
        </w:rPr>
        <w:t xml:space="preserve">if men get higher-profile slots such as </w:t>
      </w:r>
      <w:r w:rsidR="00AF09A1" w:rsidRPr="00AF09A1">
        <w:rPr>
          <w:rStyle w:val="IntenseEmphasis"/>
        </w:rPr>
        <w:t>solo</w:t>
      </w:r>
      <w:r w:rsidRPr="00AF09A1">
        <w:rPr>
          <w:rStyle w:val="IntenseEmphasis"/>
        </w:rPr>
        <w:t xml:space="preserve"> events, as shown in the quantitative section above, this both puts them in a </w:t>
      </w:r>
      <w:r w:rsidR="00AC65D2" w:rsidRPr="00AF09A1">
        <w:rPr>
          <w:rStyle w:val="IntenseEmphasis"/>
        </w:rPr>
        <w:t>prestigious</w:t>
      </w:r>
      <w:r w:rsidRPr="00AF09A1">
        <w:rPr>
          <w:rStyle w:val="IntenseEmphasis"/>
        </w:rPr>
        <w:t xml:space="preserve"> position ahead of women, </w:t>
      </w:r>
      <w:r w:rsidR="00AC65D2" w:rsidRPr="00AF09A1">
        <w:rPr>
          <w:rStyle w:val="IntenseEmphasis"/>
        </w:rPr>
        <w:t>where they are better able to</w:t>
      </w:r>
      <w:r w:rsidRPr="00AF09A1">
        <w:rPr>
          <w:rStyle w:val="IntenseEmphasis"/>
        </w:rPr>
        <w:t xml:space="preserve"> achieve higher sales and higher attendance</w:t>
      </w:r>
      <w:r w:rsidR="00AC65D2" w:rsidRPr="00AF09A1">
        <w:rPr>
          <w:rStyle w:val="IntenseEmphasis"/>
        </w:rPr>
        <w:t>. This in turn creates a male-dominated image of Scottish literature, and a perception that men are better able to draw audiences, which</w:t>
      </w:r>
      <w:r w:rsidRPr="00AF09A1">
        <w:rPr>
          <w:rStyle w:val="IntenseEmphasis"/>
        </w:rPr>
        <w:t xml:space="preserve">, like a feedback loop, </w:t>
      </w:r>
      <w:r w:rsidR="00AC65D2" w:rsidRPr="00AF09A1">
        <w:rPr>
          <w:rStyle w:val="IntenseEmphasis"/>
        </w:rPr>
        <w:t xml:space="preserve">shapes </w:t>
      </w:r>
      <w:r w:rsidRPr="00AF09A1">
        <w:rPr>
          <w:rStyle w:val="IntenseEmphasis"/>
        </w:rPr>
        <w:t>the decision-making of festival programmers.</w:t>
      </w:r>
      <w:r w:rsidRPr="001E0710">
        <w:rPr>
          <w:rFonts w:cs="Arial"/>
          <w:szCs w:val="24"/>
        </w:rPr>
        <w:t xml:space="preserve"> </w:t>
      </w:r>
      <w:r w:rsidR="00AC65D2" w:rsidRPr="001E0710">
        <w:rPr>
          <w:rFonts w:cs="Arial"/>
          <w:szCs w:val="24"/>
        </w:rPr>
        <w:t>Across</w:t>
      </w:r>
      <w:r w:rsidRPr="001E0710">
        <w:rPr>
          <w:rFonts w:cs="Arial"/>
          <w:szCs w:val="24"/>
        </w:rPr>
        <w:t xml:space="preserve"> publishing, reviewing, and prizes</w:t>
      </w:r>
      <w:r w:rsidR="00AC65D2" w:rsidRPr="001E0710">
        <w:rPr>
          <w:rFonts w:cs="Arial"/>
          <w:szCs w:val="24"/>
        </w:rPr>
        <w:t>,</w:t>
      </w:r>
      <w:r w:rsidRPr="001E0710">
        <w:rPr>
          <w:rFonts w:cs="Arial"/>
          <w:szCs w:val="24"/>
        </w:rPr>
        <w:t xml:space="preserve"> structural imbalance has a real material impact on authors.</w:t>
      </w:r>
    </w:p>
    <w:p w14:paraId="03231D41" w14:textId="5F7C6858" w:rsidR="001B6114" w:rsidRPr="001E0710" w:rsidRDefault="001B6114" w:rsidP="001B6114">
      <w:pPr>
        <w:spacing w:line="360" w:lineRule="auto"/>
        <w:ind w:firstLine="720"/>
        <w:jc w:val="both"/>
        <w:rPr>
          <w:rFonts w:cs="Arial"/>
        </w:rPr>
      </w:pPr>
      <w:r w:rsidRPr="001E0710">
        <w:rPr>
          <w:rFonts w:cs="Arial"/>
        </w:rPr>
        <w:t>These interviews show differen</w:t>
      </w:r>
      <w:r>
        <w:rPr>
          <w:rFonts w:cs="Arial"/>
        </w:rPr>
        <w:t>t</w:t>
      </w:r>
      <w:r w:rsidRPr="001E0710">
        <w:rPr>
          <w:rFonts w:cs="Arial"/>
        </w:rPr>
        <w:t xml:space="preserve"> </w:t>
      </w:r>
      <w:r>
        <w:rPr>
          <w:rFonts w:cs="Arial"/>
        </w:rPr>
        <w:t>approaches to</w:t>
      </w:r>
      <w:r w:rsidRPr="001E0710">
        <w:rPr>
          <w:rFonts w:cs="Arial"/>
        </w:rPr>
        <w:t xml:space="preserve"> structural inequality</w:t>
      </w:r>
      <w:r>
        <w:rPr>
          <w:rFonts w:cs="Arial"/>
        </w:rPr>
        <w:t>.</w:t>
      </w:r>
    </w:p>
    <w:p w14:paraId="7525E8B4" w14:textId="4722FF41" w:rsidR="001B6114" w:rsidRPr="001E0710" w:rsidRDefault="001B6114" w:rsidP="001B6114">
      <w:pPr>
        <w:spacing w:line="360" w:lineRule="auto"/>
        <w:ind w:firstLine="720"/>
        <w:jc w:val="both"/>
        <w:rPr>
          <w:rFonts w:cs="Arial"/>
          <w:szCs w:val="24"/>
        </w:rPr>
      </w:pPr>
      <w:r w:rsidRPr="001E0710">
        <w:rPr>
          <w:rFonts w:cs="Arial"/>
          <w:szCs w:val="24"/>
        </w:rPr>
        <w:t xml:space="preserve">An example of an organisation which suffered from not adopting a structural approach to addressing inequality is the </w:t>
      </w:r>
      <w:r w:rsidRPr="001E0710">
        <w:rPr>
          <w:rFonts w:cs="Arial"/>
          <w:i/>
          <w:iCs/>
          <w:szCs w:val="24"/>
        </w:rPr>
        <w:t>Scottish Review of Books (SRB)</w:t>
      </w:r>
      <w:r w:rsidR="003F41B1">
        <w:rPr>
          <w:rFonts w:cs="Arial"/>
          <w:szCs w:val="24"/>
        </w:rPr>
        <w:t xml:space="preserve">, which declined to put in place diversity measures in order to meet conditions to reapply for public funding. </w:t>
      </w:r>
      <w:r w:rsidRPr="001E0710">
        <w:rPr>
          <w:rFonts w:cs="Arial"/>
          <w:szCs w:val="24"/>
        </w:rPr>
        <w:t xml:space="preserve">The SRB editorial published afterwards, Claire Squires argues, </w:t>
      </w:r>
      <w:r w:rsidRPr="001E0710">
        <w:rPr>
          <w:rFonts w:cs="Arial"/>
          <w:szCs w:val="24"/>
        </w:rPr>
        <w:lastRenderedPageBreak/>
        <w:t>‘whitewash[ed] Scotland’s general population, and […] its literary sector, aspirant writers, and readers’</w:t>
      </w:r>
      <w:r>
        <w:rPr>
          <w:rFonts w:cs="Arial"/>
          <w:szCs w:val="24"/>
        </w:rPr>
        <w:t>.</w:t>
      </w:r>
      <w:r w:rsidRPr="00715DA1">
        <w:rPr>
          <w:rStyle w:val="FootnoteReference"/>
        </w:rPr>
        <w:footnoteReference w:id="53"/>
      </w:r>
      <w:r w:rsidRPr="001E0710">
        <w:rPr>
          <w:rFonts w:cs="Arial"/>
          <w:szCs w:val="24"/>
        </w:rPr>
        <w:t xml:space="preserve"> Squires continues:</w:t>
      </w:r>
    </w:p>
    <w:p w14:paraId="4A5D3408" w14:textId="77777777" w:rsidR="001B6114" w:rsidRPr="001E0710" w:rsidRDefault="001B6114" w:rsidP="001B6114">
      <w:pPr>
        <w:pStyle w:val="Quote"/>
        <w:spacing w:line="240" w:lineRule="auto"/>
        <w:rPr>
          <w:rFonts w:cs="Arial"/>
          <w:szCs w:val="24"/>
        </w:rPr>
      </w:pPr>
      <w:r w:rsidRPr="001E0710">
        <w:rPr>
          <w:rFonts w:cs="Arial"/>
          <w:szCs w:val="24"/>
        </w:rPr>
        <w:t>The SRB statement also contained an assumption which habitually meets any act of positive discrimination: that equality measures cannot also be enablers of (artistic) excellence. It assumes that people of colour are inhibited by a lack of ‘quality and originality’, rather than by prejudicial structures and gatekeepers.</w:t>
      </w:r>
      <w:r w:rsidRPr="00715DA1">
        <w:rPr>
          <w:rStyle w:val="FootnoteReference"/>
        </w:rPr>
        <w:footnoteReference w:id="54"/>
      </w:r>
    </w:p>
    <w:p w14:paraId="74A20460" w14:textId="3ADE13DA" w:rsidR="001B6114" w:rsidRPr="001E0710" w:rsidRDefault="001B6114" w:rsidP="001B6114">
      <w:pPr>
        <w:spacing w:line="360" w:lineRule="auto"/>
        <w:jc w:val="both"/>
        <w:rPr>
          <w:rFonts w:cs="Arial"/>
          <w:szCs w:val="24"/>
        </w:rPr>
      </w:pPr>
      <w:r>
        <w:rPr>
          <w:rFonts w:cs="Arial"/>
          <w:szCs w:val="24"/>
        </w:rPr>
        <w:t>This</w:t>
      </w:r>
      <w:r w:rsidRPr="001E0710">
        <w:rPr>
          <w:rFonts w:cs="Arial"/>
          <w:szCs w:val="24"/>
        </w:rPr>
        <w:t xml:space="preserve"> example illuminates a </w:t>
      </w:r>
      <w:r>
        <w:rPr>
          <w:rFonts w:cs="Arial"/>
          <w:szCs w:val="24"/>
        </w:rPr>
        <w:t>refusal</w:t>
      </w:r>
      <w:r w:rsidRPr="001E0710">
        <w:rPr>
          <w:rFonts w:cs="Arial"/>
          <w:szCs w:val="24"/>
        </w:rPr>
        <w:t xml:space="preserve"> to address the persistent whiteness in the Scottish literary sector.</w:t>
      </w:r>
      <w:r>
        <w:rPr>
          <w:rFonts w:cs="Arial"/>
          <w:szCs w:val="24"/>
        </w:rPr>
        <w:t xml:space="preserve"> The SRB</w:t>
      </w:r>
      <w:r w:rsidRPr="001E0710">
        <w:rPr>
          <w:rFonts w:cs="Arial"/>
          <w:szCs w:val="24"/>
        </w:rPr>
        <w:t xml:space="preserve"> ceased print operations in 2019</w:t>
      </w:r>
      <w:r>
        <w:rPr>
          <w:rFonts w:cs="Arial"/>
          <w:szCs w:val="24"/>
        </w:rPr>
        <w:t>.</w:t>
      </w:r>
    </w:p>
    <w:p w14:paraId="6C800072" w14:textId="31DAD19D" w:rsidR="001B6114" w:rsidRPr="001B6114" w:rsidRDefault="001B6114" w:rsidP="001B6114">
      <w:pPr>
        <w:spacing w:line="360" w:lineRule="auto"/>
        <w:ind w:firstLine="720"/>
        <w:jc w:val="both"/>
        <w:textAlignment w:val="baseline"/>
        <w:rPr>
          <w:rFonts w:eastAsia="Times New Roman" w:cs="Arial"/>
          <w:color w:val="000000"/>
          <w:lang w:eastAsia="en-GB"/>
        </w:rPr>
      </w:pPr>
      <w:r w:rsidRPr="001E0710">
        <w:rPr>
          <w:rFonts w:eastAsia="Times New Roman" w:cs="Arial"/>
          <w:color w:val="000000"/>
          <w:lang w:eastAsia="en-GB"/>
        </w:rPr>
        <w:t>As scholar Sara Ahmed writes, often “[d]iversity and equality work […] becomes about changing perceptions of whiteness rather than changing the whiteness of organizations. A good performance would then be about being perceived as a diverse and equal organization that is committed to diversity and equality</w:t>
      </w:r>
      <w:r>
        <w:rPr>
          <w:rFonts w:eastAsia="Times New Roman" w:cs="Arial"/>
          <w:color w:val="000000"/>
          <w:lang w:eastAsia="en-GB"/>
        </w:rPr>
        <w:t>.</w:t>
      </w:r>
      <w:r w:rsidRPr="001E0710">
        <w:rPr>
          <w:rFonts w:eastAsia="Times New Roman" w:cs="Arial"/>
          <w:color w:val="000000"/>
          <w:lang w:eastAsia="en-GB"/>
        </w:rPr>
        <w:t>”</w:t>
      </w:r>
      <w:r w:rsidRPr="00715DA1">
        <w:rPr>
          <w:rStyle w:val="FootnoteReference"/>
        </w:rPr>
        <w:footnoteReference w:id="55"/>
      </w:r>
      <w:r w:rsidRPr="001E0710">
        <w:rPr>
          <w:rFonts w:eastAsia="Times New Roman" w:cs="Arial"/>
          <w:color w:val="000000"/>
          <w:lang w:eastAsia="en-GB"/>
        </w:rPr>
        <w:t xml:space="preserve"> Therefore, if </w:t>
      </w:r>
      <w:r>
        <w:rPr>
          <w:rFonts w:eastAsia="Times New Roman" w:cs="Arial"/>
          <w:color w:val="000000"/>
          <w:lang w:eastAsia="en-GB"/>
        </w:rPr>
        <w:t xml:space="preserve">actually </w:t>
      </w:r>
      <w:r w:rsidRPr="001E0710">
        <w:rPr>
          <w:rFonts w:eastAsia="Times New Roman" w:cs="Arial"/>
          <w:color w:val="000000"/>
          <w:lang w:eastAsia="en-GB"/>
        </w:rPr>
        <w:t xml:space="preserve">addressing inequality within an organisation is the goal, then the final output matters more than </w:t>
      </w:r>
      <w:r>
        <w:rPr>
          <w:rFonts w:eastAsia="Times New Roman" w:cs="Arial"/>
          <w:color w:val="000000"/>
          <w:lang w:eastAsia="en-GB"/>
        </w:rPr>
        <w:t>how that output is perceived</w:t>
      </w:r>
      <w:r w:rsidRPr="001E0710">
        <w:rPr>
          <w:rFonts w:eastAsia="Times New Roman" w:cs="Arial"/>
          <w:color w:val="000000"/>
          <w:lang w:eastAsia="en-GB"/>
        </w:rPr>
        <w:t>.</w:t>
      </w:r>
    </w:p>
    <w:p w14:paraId="5C16CD6A" w14:textId="500FBE89" w:rsidR="00704C08" w:rsidRPr="001E0710" w:rsidRDefault="00AC65D2" w:rsidP="001C6A66">
      <w:pPr>
        <w:pStyle w:val="Heading2"/>
        <w:rPr>
          <w:rFonts w:cs="Arial"/>
        </w:rPr>
      </w:pPr>
      <w:bookmarkStart w:id="50" w:name="_Toc195538163"/>
      <w:r w:rsidRPr="001E0710">
        <w:rPr>
          <w:rFonts w:cs="Arial"/>
        </w:rPr>
        <w:t>Publishing’s self-image</w:t>
      </w:r>
      <w:bookmarkEnd w:id="50"/>
    </w:p>
    <w:p w14:paraId="71D35065" w14:textId="4F291AAF" w:rsidR="00704C08" w:rsidRPr="001E0710" w:rsidRDefault="00C47EE5" w:rsidP="0024460A">
      <w:pPr>
        <w:spacing w:line="360" w:lineRule="auto"/>
        <w:jc w:val="both"/>
        <w:rPr>
          <w:rFonts w:cs="Arial"/>
          <w:color w:val="000000" w:themeColor="text1"/>
        </w:rPr>
      </w:pPr>
      <w:r w:rsidRPr="001E0710">
        <w:rPr>
          <w:rFonts w:cs="Arial"/>
          <w:color w:val="000000" w:themeColor="text1"/>
        </w:rPr>
        <w:t xml:space="preserve">Annabel, a white female publisher, </w:t>
      </w:r>
      <w:r w:rsidR="008B0FE9">
        <w:rPr>
          <w:rFonts w:cs="Arial"/>
          <w:color w:val="000000" w:themeColor="text1"/>
        </w:rPr>
        <w:t xml:space="preserve">was among interviewees who </w:t>
      </w:r>
      <w:r w:rsidRPr="001E0710">
        <w:rPr>
          <w:rFonts w:cs="Arial"/>
          <w:color w:val="000000" w:themeColor="text1"/>
        </w:rPr>
        <w:t>noted that at times the arts are seen as “something countercultural”</w:t>
      </w:r>
      <w:r w:rsidR="008B0FE9">
        <w:rPr>
          <w:rFonts w:cs="Arial"/>
          <w:color w:val="000000" w:themeColor="text1"/>
        </w:rPr>
        <w:t>. This perception</w:t>
      </w:r>
      <w:r w:rsidR="00AC65D2" w:rsidRPr="001E0710">
        <w:rPr>
          <w:rFonts w:cs="Arial"/>
          <w:color w:val="000000" w:themeColor="text1"/>
        </w:rPr>
        <w:t xml:space="preserve"> </w:t>
      </w:r>
      <w:r w:rsidR="008B0FE9">
        <w:rPr>
          <w:rFonts w:cs="Arial"/>
          <w:color w:val="000000" w:themeColor="text1"/>
        </w:rPr>
        <w:t>gives</w:t>
      </w:r>
      <w:r w:rsidRPr="001E0710">
        <w:rPr>
          <w:rFonts w:cs="Arial"/>
          <w:color w:val="000000" w:themeColor="text1"/>
        </w:rPr>
        <w:t xml:space="preserve"> </w:t>
      </w:r>
      <w:r w:rsidR="008B0FE9">
        <w:rPr>
          <w:rFonts w:cs="Arial"/>
          <w:color w:val="000000" w:themeColor="text1"/>
        </w:rPr>
        <w:t>workers</w:t>
      </w:r>
      <w:r w:rsidRPr="001E0710">
        <w:rPr>
          <w:rFonts w:cs="Arial"/>
          <w:color w:val="000000" w:themeColor="text1"/>
        </w:rPr>
        <w:t xml:space="preserve"> reason to believe that literature may be a more equal industry. However, </w:t>
      </w:r>
      <w:r w:rsidR="008B0FE9">
        <w:rPr>
          <w:rFonts w:cs="Arial"/>
          <w:color w:val="000000" w:themeColor="text1"/>
        </w:rPr>
        <w:t>Annabel</w:t>
      </w:r>
      <w:r w:rsidRPr="001E0710">
        <w:rPr>
          <w:rFonts w:cs="Arial"/>
          <w:color w:val="000000" w:themeColor="text1"/>
        </w:rPr>
        <w:t xml:space="preserve"> stated that “sometimes the makeup of publishing and what we actually put out into the world just mirrors other cultural standards</w:t>
      </w:r>
      <w:r w:rsidR="00D41088">
        <w:rPr>
          <w:rFonts w:cs="Arial"/>
          <w:color w:val="000000" w:themeColor="text1"/>
        </w:rPr>
        <w:t>.</w:t>
      </w:r>
      <w:r w:rsidRPr="001E0710">
        <w:rPr>
          <w:rFonts w:cs="Arial"/>
          <w:color w:val="000000" w:themeColor="text1"/>
        </w:rPr>
        <w:t xml:space="preserve">” </w:t>
      </w:r>
      <w:r w:rsidRPr="00AF09A1">
        <w:rPr>
          <w:rStyle w:val="IntenseEmphasis"/>
        </w:rPr>
        <w:t xml:space="preserve">Despite </w:t>
      </w:r>
      <w:r w:rsidR="00AC65D2" w:rsidRPr="00AF09A1">
        <w:rPr>
          <w:rStyle w:val="IntenseEmphasis"/>
        </w:rPr>
        <w:t xml:space="preserve">a countercultural </w:t>
      </w:r>
      <w:r w:rsidRPr="00AF09A1">
        <w:rPr>
          <w:rStyle w:val="IntenseEmphasis"/>
        </w:rPr>
        <w:t xml:space="preserve">self-image, the quantitative and qualitative data above </w:t>
      </w:r>
      <w:r w:rsidR="00AC65D2" w:rsidRPr="00AF09A1">
        <w:rPr>
          <w:rStyle w:val="IntenseEmphasis"/>
        </w:rPr>
        <w:t xml:space="preserve">show </w:t>
      </w:r>
      <w:r w:rsidRPr="00AF09A1">
        <w:rPr>
          <w:rStyle w:val="IntenseEmphasis"/>
        </w:rPr>
        <w:t xml:space="preserve">that literature is far from an </w:t>
      </w:r>
      <w:r w:rsidR="00AC65D2" w:rsidRPr="00AF09A1">
        <w:rPr>
          <w:rStyle w:val="IntenseEmphasis"/>
        </w:rPr>
        <w:t xml:space="preserve">equal </w:t>
      </w:r>
      <w:r w:rsidRPr="00AF09A1">
        <w:rPr>
          <w:rStyle w:val="IntenseEmphasis"/>
        </w:rPr>
        <w:t>industry.</w:t>
      </w:r>
      <w:r w:rsidRPr="001E0710">
        <w:rPr>
          <w:rFonts w:cs="Arial"/>
          <w:color w:val="000000" w:themeColor="text1"/>
        </w:rPr>
        <w:t xml:space="preserve"> </w:t>
      </w:r>
    </w:p>
    <w:p w14:paraId="52C01A51" w14:textId="33F0CFEE" w:rsidR="00704C08" w:rsidRPr="001E0710" w:rsidRDefault="00000000" w:rsidP="0024460A">
      <w:pPr>
        <w:spacing w:line="360" w:lineRule="auto"/>
        <w:ind w:firstLine="720"/>
        <w:jc w:val="both"/>
        <w:rPr>
          <w:rFonts w:cs="Arial"/>
          <w:color w:val="000000" w:themeColor="text1"/>
        </w:rPr>
      </w:pPr>
      <w:r w:rsidRPr="001E0710">
        <w:rPr>
          <w:rFonts w:cs="Arial"/>
          <w:color w:val="000000" w:themeColor="text1"/>
        </w:rPr>
        <w:t xml:space="preserve">Interviewees believed </w:t>
      </w:r>
      <w:r w:rsidR="00AC65D2" w:rsidRPr="001E0710">
        <w:rPr>
          <w:rFonts w:cs="Arial"/>
          <w:color w:val="000000" w:themeColor="text1"/>
        </w:rPr>
        <w:t xml:space="preserve">that </w:t>
      </w:r>
      <w:r w:rsidRPr="001E0710">
        <w:rPr>
          <w:rFonts w:cs="Arial"/>
          <w:color w:val="000000" w:themeColor="text1"/>
        </w:rPr>
        <w:t>publishers have good intentions when it comes to gender equality, and that publishers may be unaware of the extent of inequality</w:t>
      </w:r>
      <w:r w:rsidR="00AC65D2" w:rsidRPr="001E0710">
        <w:rPr>
          <w:rFonts w:cs="Arial"/>
          <w:color w:val="000000" w:themeColor="text1"/>
        </w:rPr>
        <w:t>.</w:t>
      </w:r>
      <w:r w:rsidRPr="001E0710">
        <w:rPr>
          <w:rFonts w:cs="Arial"/>
          <w:color w:val="000000" w:themeColor="text1"/>
        </w:rPr>
        <w:t xml:space="preserve"> </w:t>
      </w:r>
      <w:r w:rsidR="00C47EE5" w:rsidRPr="001E0710">
        <w:rPr>
          <w:rFonts w:cs="Arial"/>
          <w:color w:val="000000" w:themeColor="text1"/>
        </w:rPr>
        <w:t>Olivia, an author, said</w:t>
      </w:r>
      <w:r w:rsidRPr="001E0710">
        <w:rPr>
          <w:rFonts w:cs="Arial"/>
          <w:color w:val="000000" w:themeColor="text1"/>
        </w:rPr>
        <w:t>: “I think it’s really important to get publishers on board and to make them aware because, to be honest, I think an awful lot of them are really not aware, they need to be told</w:t>
      </w:r>
      <w:r w:rsidR="00D41088">
        <w:rPr>
          <w:rFonts w:cs="Arial"/>
          <w:color w:val="000000" w:themeColor="text1"/>
        </w:rPr>
        <w:t>.</w:t>
      </w:r>
      <w:r w:rsidRPr="001E0710">
        <w:rPr>
          <w:rFonts w:cs="Arial"/>
          <w:color w:val="000000" w:themeColor="text1"/>
        </w:rPr>
        <w:t>” She continued: “I think many male publishers would be very surprised that this was a problem</w:t>
      </w:r>
      <w:r w:rsidR="00D41088">
        <w:rPr>
          <w:rFonts w:cs="Arial"/>
          <w:color w:val="000000" w:themeColor="text1"/>
        </w:rPr>
        <w:t>.</w:t>
      </w:r>
      <w:r w:rsidRPr="001E0710">
        <w:rPr>
          <w:rFonts w:cs="Arial"/>
          <w:color w:val="000000" w:themeColor="text1"/>
        </w:rPr>
        <w:t xml:space="preserve">” Going further than surprise, two interviewees used the word ‘horrified’ when imagining a publisher’s reaction to gender inequality in the industry. </w:t>
      </w:r>
      <w:r w:rsidR="001D09B7" w:rsidRPr="001E0710">
        <w:rPr>
          <w:rFonts w:cs="Arial"/>
          <w:color w:val="000000" w:themeColor="text1"/>
        </w:rPr>
        <w:t xml:space="preserve">Dean, a festival director, </w:t>
      </w:r>
      <w:r w:rsidRPr="001E0710">
        <w:rPr>
          <w:rFonts w:cs="Arial"/>
          <w:color w:val="000000" w:themeColor="text1"/>
        </w:rPr>
        <w:t>felt that publishers</w:t>
      </w:r>
      <w:r w:rsidR="00AC65D2" w:rsidRPr="001E0710">
        <w:rPr>
          <w:rFonts w:cs="Arial"/>
          <w:color w:val="000000" w:themeColor="text1"/>
        </w:rPr>
        <w:t xml:space="preserve"> and the wider literary sector, </w:t>
      </w:r>
      <w:r w:rsidRPr="001E0710">
        <w:rPr>
          <w:rFonts w:cs="Arial"/>
          <w:color w:val="000000" w:themeColor="text1"/>
        </w:rPr>
        <w:lastRenderedPageBreak/>
        <w:t>“strongly believe in social inclusion, gender equality and other equalities</w:t>
      </w:r>
      <w:r w:rsidR="00D41088">
        <w:rPr>
          <w:rFonts w:cs="Arial"/>
          <w:color w:val="000000" w:themeColor="text1"/>
        </w:rPr>
        <w:t>.</w:t>
      </w:r>
      <w:r w:rsidRPr="001E0710">
        <w:rPr>
          <w:rFonts w:cs="Arial"/>
          <w:color w:val="000000" w:themeColor="text1"/>
        </w:rPr>
        <w:t>” He stress</w:t>
      </w:r>
      <w:r w:rsidR="00AC65D2" w:rsidRPr="001E0710">
        <w:rPr>
          <w:rFonts w:cs="Arial"/>
          <w:color w:val="000000" w:themeColor="text1"/>
        </w:rPr>
        <w:t>ed</w:t>
      </w:r>
      <w:r w:rsidRPr="001E0710">
        <w:rPr>
          <w:rFonts w:cs="Arial"/>
          <w:color w:val="000000" w:themeColor="text1"/>
        </w:rPr>
        <w:t xml:space="preserve"> that they “would be horrified if they were accused of deliberately and systematically introducing bias against one gender in favour of another</w:t>
      </w:r>
      <w:r w:rsidR="00D41088">
        <w:rPr>
          <w:rFonts w:cs="Arial"/>
          <w:color w:val="000000" w:themeColor="text1"/>
        </w:rPr>
        <w:t>.</w:t>
      </w:r>
      <w:r w:rsidRPr="001E0710">
        <w:rPr>
          <w:rFonts w:cs="Arial"/>
          <w:color w:val="000000" w:themeColor="text1"/>
        </w:rPr>
        <w:t xml:space="preserve">” </w:t>
      </w:r>
      <w:r w:rsidR="007F77DF" w:rsidRPr="001E0710">
        <w:rPr>
          <w:rFonts w:cs="Arial"/>
          <w:color w:val="000000" w:themeColor="text1"/>
        </w:rPr>
        <w:t>Natasha, a festival programmer,</w:t>
      </w:r>
      <w:r w:rsidRPr="001E0710">
        <w:rPr>
          <w:rFonts w:cs="Arial"/>
          <w:color w:val="000000" w:themeColor="text1"/>
        </w:rPr>
        <w:t xml:space="preserve"> </w:t>
      </w:r>
      <w:r w:rsidR="00AC65D2" w:rsidRPr="001E0710">
        <w:rPr>
          <w:rFonts w:cs="Arial"/>
          <w:color w:val="000000" w:themeColor="text1"/>
        </w:rPr>
        <w:t xml:space="preserve">spoke about times when men have proposed all-male events, saying that they were not </w:t>
      </w:r>
      <w:r w:rsidRPr="001E0710">
        <w:rPr>
          <w:rFonts w:cs="Arial"/>
          <w:color w:val="000000" w:themeColor="text1"/>
        </w:rPr>
        <w:t>“trying to be misogynistic at all</w:t>
      </w:r>
      <w:r w:rsidR="00AC65D2" w:rsidRPr="001E0710">
        <w:rPr>
          <w:rFonts w:cs="Arial"/>
          <w:color w:val="000000" w:themeColor="text1"/>
        </w:rPr>
        <w:t>.</w:t>
      </w:r>
      <w:r w:rsidRPr="001E0710">
        <w:rPr>
          <w:rFonts w:cs="Arial"/>
          <w:color w:val="000000" w:themeColor="text1"/>
        </w:rPr>
        <w:t xml:space="preserve"> I think they would probably be horrified if I was kind of like, ‘That’s a bit sexist, isn’t it?’”</w:t>
      </w:r>
    </w:p>
    <w:p w14:paraId="7EEFC974" w14:textId="1659AE09" w:rsidR="00704C08" w:rsidRPr="001E0710" w:rsidRDefault="00AC65D2" w:rsidP="0024460A">
      <w:pPr>
        <w:spacing w:line="360" w:lineRule="auto"/>
        <w:jc w:val="both"/>
        <w:rPr>
          <w:rFonts w:cs="Arial"/>
          <w:szCs w:val="24"/>
        </w:rPr>
      </w:pPr>
      <w:r w:rsidRPr="001E0710">
        <w:rPr>
          <w:rFonts w:cs="Arial"/>
        </w:rPr>
        <w:tab/>
      </w:r>
      <w:r w:rsidRPr="001E0710">
        <w:rPr>
          <w:rFonts w:cs="Arial"/>
          <w:color w:val="000000" w:themeColor="text1"/>
          <w:szCs w:val="24"/>
        </w:rPr>
        <w:t xml:space="preserve">In my interviews, I noticed that tastemakers’ good intentions were often raised to argue that progress was already being made as fast as they felt possible. For example, </w:t>
      </w:r>
      <w:r w:rsidR="001D09B7" w:rsidRPr="001E0710">
        <w:rPr>
          <w:rFonts w:cs="Arial"/>
          <w:color w:val="000000" w:themeColor="text1"/>
          <w:szCs w:val="24"/>
        </w:rPr>
        <w:t xml:space="preserve">Dean </w:t>
      </w:r>
      <w:r w:rsidRPr="001E0710">
        <w:rPr>
          <w:rFonts w:cs="Arial"/>
          <w:color w:val="000000" w:themeColor="text1"/>
          <w:szCs w:val="24"/>
        </w:rPr>
        <w:t xml:space="preserve">stressed that if he could create a programme along his </w:t>
      </w:r>
      <w:r w:rsidRPr="001E0710">
        <w:rPr>
          <w:rFonts w:cs="Arial"/>
          <w:i/>
          <w:iCs/>
          <w:color w:val="000000" w:themeColor="text1"/>
          <w:szCs w:val="24"/>
        </w:rPr>
        <w:t>intentions</w:t>
      </w:r>
      <w:r w:rsidRPr="001E0710">
        <w:rPr>
          <w:rFonts w:cs="Arial"/>
          <w:color w:val="000000" w:themeColor="text1"/>
          <w:szCs w:val="24"/>
        </w:rPr>
        <w:t xml:space="preserve"> it would be much more equal, but that he is slowed down by the commercial ties to other elements of the sector.</w:t>
      </w:r>
    </w:p>
    <w:p w14:paraId="50105DD4" w14:textId="6F552E8A" w:rsidR="00704C08" w:rsidRPr="00AF09A1" w:rsidRDefault="00D26CD3" w:rsidP="0024460A">
      <w:pPr>
        <w:spacing w:line="360" w:lineRule="auto"/>
        <w:ind w:firstLine="720"/>
        <w:jc w:val="both"/>
        <w:rPr>
          <w:rStyle w:val="IntenseEmphasis"/>
        </w:rPr>
      </w:pPr>
      <w:r w:rsidRPr="00AF09A1">
        <w:rPr>
          <w:rStyle w:val="IntenseEmphasis"/>
        </w:rPr>
        <w:t>Similarly, tastemakers would be horrified if accused of sexism because they believe they have good intentions, and work in a countercultural sector. They may believe that their good intentions protect them from perpetuating sexism and from accusations of sexism. However, the data in this report show that sexism exists throughout</w:t>
      </w:r>
      <w:r w:rsidR="00185FC6">
        <w:rPr>
          <w:rStyle w:val="IntenseEmphasis"/>
        </w:rPr>
        <w:t xml:space="preserve"> the</w:t>
      </w:r>
      <w:r w:rsidRPr="00AF09A1">
        <w:rPr>
          <w:rStyle w:val="IntenseEmphasis"/>
        </w:rPr>
        <w:t xml:space="preserve"> Scottish </w:t>
      </w:r>
      <w:r w:rsidR="00185FC6">
        <w:rPr>
          <w:rStyle w:val="IntenseEmphasis"/>
        </w:rPr>
        <w:t>literary sector</w:t>
      </w:r>
      <w:r w:rsidRPr="00AF09A1">
        <w:rPr>
          <w:rStyle w:val="IntenseEmphasis"/>
        </w:rPr>
        <w:t>.</w:t>
      </w:r>
    </w:p>
    <w:p w14:paraId="61E83691" w14:textId="3B2B3AE0" w:rsidR="00704C08" w:rsidRPr="001E0710" w:rsidRDefault="00000000" w:rsidP="0024460A">
      <w:pPr>
        <w:spacing w:line="360" w:lineRule="auto"/>
        <w:ind w:firstLine="720"/>
        <w:jc w:val="both"/>
        <w:rPr>
          <w:rFonts w:cs="Arial"/>
          <w:color w:val="000000" w:themeColor="text1"/>
        </w:rPr>
      </w:pPr>
      <w:r w:rsidRPr="001E0710">
        <w:rPr>
          <w:rFonts w:cs="Arial"/>
          <w:color w:val="000000" w:themeColor="text1"/>
          <w:szCs w:val="24"/>
        </w:rPr>
        <w:t xml:space="preserve">In </w:t>
      </w:r>
      <w:r w:rsidRPr="001E0710">
        <w:rPr>
          <w:rFonts w:cs="Arial"/>
          <w:i/>
          <w:iCs/>
          <w:color w:val="000000" w:themeColor="text1"/>
          <w:szCs w:val="24"/>
        </w:rPr>
        <w:t>Sway: Unravelling Unconscious Bias</w:t>
      </w:r>
      <w:r w:rsidR="004805C3">
        <w:rPr>
          <w:rFonts w:cs="Arial"/>
          <w:i/>
          <w:iCs/>
          <w:color w:val="000000" w:themeColor="text1"/>
          <w:szCs w:val="24"/>
        </w:rPr>
        <w:t>,</w:t>
      </w:r>
      <w:r w:rsidRPr="001E0710">
        <w:rPr>
          <w:rFonts w:cs="Arial"/>
          <w:color w:val="000000" w:themeColor="text1"/>
          <w:szCs w:val="24"/>
        </w:rPr>
        <w:t xml:space="preserve"> Pragya Agarwal </w:t>
      </w:r>
      <w:r w:rsidR="00054339">
        <w:rPr>
          <w:rFonts w:cs="Arial"/>
          <w:color w:val="000000" w:themeColor="text1"/>
          <w:szCs w:val="24"/>
        </w:rPr>
        <w:t xml:space="preserve">states </w:t>
      </w:r>
      <w:r w:rsidR="007B5CAA" w:rsidRPr="001E0710">
        <w:rPr>
          <w:rFonts w:cs="Arial"/>
          <w:color w:val="000000" w:themeColor="text1"/>
          <w:szCs w:val="24"/>
        </w:rPr>
        <w:t>that “[t]</w:t>
      </w:r>
      <w:r w:rsidRPr="001E0710">
        <w:rPr>
          <w:rFonts w:cs="Arial"/>
          <w:color w:val="000000" w:themeColor="text1"/>
          <w:szCs w:val="24"/>
        </w:rPr>
        <w:t>here are biases that we can control once we are aware of the way they influence our decisions</w:t>
      </w:r>
      <w:r w:rsidR="00D41088">
        <w:rPr>
          <w:rFonts w:cs="Arial"/>
          <w:color w:val="000000" w:themeColor="text1"/>
          <w:szCs w:val="24"/>
        </w:rPr>
        <w:t>.</w:t>
      </w:r>
      <w:r w:rsidRPr="001E0710">
        <w:rPr>
          <w:rFonts w:cs="Arial"/>
          <w:color w:val="000000" w:themeColor="text1"/>
          <w:szCs w:val="24"/>
        </w:rPr>
        <w:t>”</w:t>
      </w:r>
      <w:r w:rsidR="00684D21" w:rsidRPr="00715DA1">
        <w:rPr>
          <w:rStyle w:val="FootnoteReference"/>
        </w:rPr>
        <w:footnoteReference w:id="56"/>
      </w:r>
      <w:r w:rsidRPr="001E0710">
        <w:rPr>
          <w:rFonts w:cs="Arial"/>
          <w:color w:val="000000" w:themeColor="text1"/>
          <w:szCs w:val="24"/>
        </w:rPr>
        <w:t xml:space="preserve"> According to Agarwal</w:t>
      </w:r>
      <w:r w:rsidR="007B5CAA" w:rsidRPr="001E0710">
        <w:rPr>
          <w:rFonts w:cs="Arial"/>
          <w:color w:val="000000" w:themeColor="text1"/>
          <w:szCs w:val="24"/>
        </w:rPr>
        <w:t xml:space="preserve"> (in a discussion of Washington and Kell</w:t>
      </w:r>
      <w:r w:rsidR="008B0FE9">
        <w:rPr>
          <w:rFonts w:cs="Arial"/>
          <w:color w:val="000000" w:themeColor="text1"/>
          <w:szCs w:val="24"/>
        </w:rPr>
        <w:t>y’s work</w:t>
      </w:r>
      <w:r w:rsidR="008B0FE9" w:rsidRPr="00715DA1">
        <w:rPr>
          <w:rStyle w:val="FootnoteReference"/>
        </w:rPr>
        <w:footnoteReference w:id="57"/>
      </w:r>
      <w:r w:rsidR="007B5CAA" w:rsidRPr="001E0710">
        <w:rPr>
          <w:rFonts w:cs="Arial"/>
          <w:color w:val="000000" w:themeColor="text1"/>
          <w:szCs w:val="24"/>
        </w:rPr>
        <w:t>)</w:t>
      </w:r>
      <w:r w:rsidR="008B0FE9">
        <w:rPr>
          <w:rFonts w:cs="Arial"/>
          <w:color w:val="000000" w:themeColor="text1"/>
          <w:szCs w:val="24"/>
        </w:rPr>
        <w:t>,</w:t>
      </w:r>
      <w:r w:rsidR="007B5CAA" w:rsidRPr="001E0710">
        <w:rPr>
          <w:rFonts w:cs="Arial"/>
          <w:color w:val="000000" w:themeColor="text1"/>
          <w:szCs w:val="24"/>
        </w:rPr>
        <w:t xml:space="preserve"> </w:t>
      </w:r>
      <w:r w:rsidRPr="001E0710">
        <w:rPr>
          <w:rFonts w:cs="Arial"/>
          <w:color w:val="000000" w:themeColor="text1"/>
          <w:szCs w:val="24"/>
        </w:rPr>
        <w:t xml:space="preserve">once aware of biases, </w:t>
      </w:r>
      <w:r w:rsidR="007B5CAA" w:rsidRPr="001E0710">
        <w:rPr>
          <w:rFonts w:cs="Arial"/>
          <w:color w:val="000000" w:themeColor="text1"/>
          <w:szCs w:val="24"/>
        </w:rPr>
        <w:t>“</w:t>
      </w:r>
      <w:r w:rsidRPr="001E0710">
        <w:rPr>
          <w:rFonts w:cs="Arial"/>
          <w:color w:val="000000" w:themeColor="text1"/>
        </w:rPr>
        <w:t xml:space="preserve">we start holding people morally responsible and accountable for their implicitly held beliefs and any prejudicial and discriminatory actions resulting from this bias. We can do this while not attributing bias to these individuals, so that the focus remains on the harmful effect of their actions </w:t>
      </w:r>
      <w:r w:rsidR="003C6C5D" w:rsidRPr="001E0710">
        <w:rPr>
          <w:rFonts w:cs="Arial"/>
          <w:color w:val="000000" w:themeColor="text1"/>
        </w:rPr>
        <w:t>[…]</w:t>
      </w:r>
      <w:r w:rsidR="00D41088">
        <w:rPr>
          <w:rFonts w:cs="Arial"/>
          <w:color w:val="000000" w:themeColor="text1"/>
        </w:rPr>
        <w:t>.</w:t>
      </w:r>
      <w:r w:rsidR="003C6C5D" w:rsidRPr="001E0710">
        <w:rPr>
          <w:rFonts w:cs="Arial"/>
          <w:color w:val="000000" w:themeColor="text1"/>
        </w:rPr>
        <w:t>”</w:t>
      </w:r>
      <w:r w:rsidR="00684D21" w:rsidRPr="00715DA1">
        <w:rPr>
          <w:rStyle w:val="FootnoteReference"/>
        </w:rPr>
        <w:footnoteReference w:id="58"/>
      </w:r>
      <w:r w:rsidRPr="001E0710">
        <w:rPr>
          <w:rFonts w:cs="Arial"/>
          <w:color w:val="000000" w:themeColor="text1"/>
        </w:rPr>
        <w:t xml:space="preserve"> </w:t>
      </w:r>
    </w:p>
    <w:p w14:paraId="3387F03A" w14:textId="193EC750" w:rsidR="00704C08" w:rsidRPr="001E0710" w:rsidRDefault="0035021D" w:rsidP="001E678E">
      <w:pPr>
        <w:pStyle w:val="Heading2"/>
        <w:rPr>
          <w:rFonts w:cs="Arial"/>
        </w:rPr>
      </w:pPr>
      <w:bookmarkStart w:id="51" w:name="_Toc195538164"/>
      <w:r w:rsidRPr="001E0710">
        <w:rPr>
          <w:rFonts w:cs="Arial"/>
        </w:rPr>
        <w:t>Summary</w:t>
      </w:r>
      <w:bookmarkEnd w:id="51"/>
    </w:p>
    <w:p w14:paraId="0117B61E" w14:textId="492C2DDE" w:rsidR="00704C08" w:rsidRPr="001E0710" w:rsidRDefault="00000000" w:rsidP="0024460A">
      <w:pPr>
        <w:spacing w:line="360" w:lineRule="auto"/>
        <w:jc w:val="both"/>
        <w:rPr>
          <w:rFonts w:cs="Arial"/>
          <w:szCs w:val="24"/>
        </w:rPr>
      </w:pPr>
      <w:r w:rsidRPr="001E0710">
        <w:rPr>
          <w:rFonts w:cs="Arial"/>
          <w:szCs w:val="24"/>
        </w:rPr>
        <w:t>At several stages, ideas of what Scottish literature should or could be are limited</w:t>
      </w:r>
      <w:r w:rsidR="00035A3E" w:rsidRPr="001E0710">
        <w:rPr>
          <w:rFonts w:cs="Arial"/>
          <w:szCs w:val="24"/>
        </w:rPr>
        <w:t>. F</w:t>
      </w:r>
      <w:r w:rsidRPr="001E0710">
        <w:rPr>
          <w:rFonts w:cs="Arial"/>
          <w:szCs w:val="24"/>
        </w:rPr>
        <w:t xml:space="preserve">irstly, </w:t>
      </w:r>
      <w:r w:rsidR="00054339" w:rsidRPr="001E0710">
        <w:rPr>
          <w:rFonts w:cs="Arial"/>
          <w:szCs w:val="24"/>
        </w:rPr>
        <w:t>the Scottish literary canon, which historically favours white male authors, still impacts tastemaking today</w:t>
      </w:r>
      <w:r w:rsidR="00054339">
        <w:rPr>
          <w:rFonts w:cs="Arial"/>
          <w:szCs w:val="24"/>
        </w:rPr>
        <w:t xml:space="preserve">. Secondly, our ideas about literature </w:t>
      </w:r>
      <w:r w:rsidR="00035A3E" w:rsidRPr="001E0710">
        <w:rPr>
          <w:rFonts w:cs="Arial"/>
          <w:szCs w:val="24"/>
        </w:rPr>
        <w:t xml:space="preserve">are limited </w:t>
      </w:r>
      <w:r w:rsidRPr="001E0710">
        <w:rPr>
          <w:rFonts w:cs="Arial"/>
          <w:szCs w:val="24"/>
        </w:rPr>
        <w:t xml:space="preserve">by the </w:t>
      </w:r>
      <w:r w:rsidRPr="001E0710">
        <w:rPr>
          <w:rFonts w:cs="Arial"/>
          <w:szCs w:val="24"/>
        </w:rPr>
        <w:lastRenderedPageBreak/>
        <w:t>capitalist market idea of risk, in which literary sector businesses appeal to imagined ideas of consumers.</w:t>
      </w:r>
    </w:p>
    <w:p w14:paraId="05B25699" w14:textId="44DEE75E" w:rsidR="00704C08" w:rsidRPr="001E0710" w:rsidRDefault="008B0FE9" w:rsidP="0024460A">
      <w:pPr>
        <w:spacing w:line="360" w:lineRule="auto"/>
        <w:ind w:firstLine="720"/>
        <w:jc w:val="both"/>
        <w:rPr>
          <w:rFonts w:cs="Arial"/>
          <w:szCs w:val="24"/>
        </w:rPr>
      </w:pPr>
      <w:r>
        <w:rPr>
          <w:rFonts w:cs="Arial"/>
          <w:szCs w:val="24"/>
        </w:rPr>
        <w:t xml:space="preserve">The financial relationships within the literary sector can limit scope for change. </w:t>
      </w:r>
      <w:r w:rsidRPr="001E0710">
        <w:rPr>
          <w:rFonts w:cs="Arial"/>
          <w:szCs w:val="24"/>
        </w:rPr>
        <w:t xml:space="preserve">Additionally, the scope for any action is narrowed </w:t>
      </w:r>
      <w:r w:rsidR="005405DD">
        <w:rPr>
          <w:rFonts w:cs="Arial"/>
          <w:szCs w:val="24"/>
        </w:rPr>
        <w:t xml:space="preserve">by </w:t>
      </w:r>
      <w:r w:rsidRPr="001E0710">
        <w:rPr>
          <w:rFonts w:cs="Arial"/>
          <w:szCs w:val="24"/>
        </w:rPr>
        <w:t xml:space="preserve">what the literary market imagines </w:t>
      </w:r>
      <w:r w:rsidR="005405DD">
        <w:rPr>
          <w:rFonts w:cs="Arial"/>
          <w:szCs w:val="24"/>
        </w:rPr>
        <w:t>that audiences</w:t>
      </w:r>
      <w:r w:rsidRPr="001E0710">
        <w:rPr>
          <w:rFonts w:cs="Arial"/>
          <w:szCs w:val="24"/>
        </w:rPr>
        <w:t xml:space="preserve"> want to read, and through discrimination, harassment, and systemic devaluing of</w:t>
      </w:r>
      <w:r w:rsidR="005405DD">
        <w:rPr>
          <w:rFonts w:cs="Arial"/>
          <w:szCs w:val="24"/>
        </w:rPr>
        <w:t xml:space="preserve"> women’s</w:t>
      </w:r>
      <w:r w:rsidRPr="001E0710">
        <w:rPr>
          <w:rFonts w:cs="Arial"/>
          <w:szCs w:val="24"/>
        </w:rPr>
        <w:t xml:space="preserve"> work. </w:t>
      </w:r>
      <w:r w:rsidR="005405DD">
        <w:rPr>
          <w:rFonts w:cs="Arial"/>
          <w:szCs w:val="24"/>
        </w:rPr>
        <w:t>S</w:t>
      </w:r>
      <w:r w:rsidRPr="001E0710">
        <w:rPr>
          <w:rFonts w:cs="Arial"/>
          <w:szCs w:val="24"/>
        </w:rPr>
        <w:t>imply being aware of inequality is not enough to lead to meaningful, sustainable and systemic action. The sector runs the risk of not taking enough action through its own self-image of being a progressive sector with good intentions. This self-image can shield the sector from recognising its biases.</w:t>
      </w:r>
    </w:p>
    <w:p w14:paraId="525C1587" w14:textId="2317B7BD" w:rsidR="005405DD" w:rsidRDefault="005405DD" w:rsidP="005405DD">
      <w:pPr>
        <w:spacing w:line="360" w:lineRule="auto"/>
        <w:ind w:firstLine="720"/>
        <w:jc w:val="both"/>
        <w:rPr>
          <w:rFonts w:cs="Arial"/>
          <w:szCs w:val="24"/>
        </w:rPr>
      </w:pPr>
      <w:r>
        <w:rPr>
          <w:rFonts w:cs="Arial"/>
          <w:szCs w:val="24"/>
        </w:rPr>
        <w:t xml:space="preserve">Information in </w:t>
      </w:r>
      <w:r>
        <w:rPr>
          <w:rFonts w:cs="Arial"/>
          <w:i/>
          <w:iCs/>
          <w:szCs w:val="24"/>
        </w:rPr>
        <w:t xml:space="preserve">The </w:t>
      </w:r>
      <w:r w:rsidRPr="005405DD">
        <w:rPr>
          <w:rFonts w:cs="Arial"/>
          <w:i/>
          <w:iCs/>
          <w:szCs w:val="24"/>
        </w:rPr>
        <w:t>Numbers</w:t>
      </w:r>
      <w:r>
        <w:rPr>
          <w:rFonts w:cs="Arial"/>
          <w:szCs w:val="24"/>
        </w:rPr>
        <w:t xml:space="preserve"> illustrated</w:t>
      </w:r>
      <w:r w:rsidRPr="001E0710">
        <w:rPr>
          <w:rFonts w:cs="Arial"/>
          <w:szCs w:val="24"/>
        </w:rPr>
        <w:t xml:space="preserve"> larger trends outside individual intention and decision-making. </w:t>
      </w:r>
      <w:r>
        <w:rPr>
          <w:rFonts w:cs="Arial"/>
          <w:i/>
          <w:iCs/>
          <w:szCs w:val="24"/>
        </w:rPr>
        <w:t xml:space="preserve">Interviews and Analysis </w:t>
      </w:r>
      <w:r>
        <w:rPr>
          <w:rFonts w:cs="Arial"/>
          <w:szCs w:val="24"/>
        </w:rPr>
        <w:t xml:space="preserve">now </w:t>
      </w:r>
      <w:r w:rsidRPr="001E0710">
        <w:rPr>
          <w:rFonts w:cs="Arial"/>
          <w:szCs w:val="24"/>
        </w:rPr>
        <w:t>shows</w:t>
      </w:r>
      <w:r>
        <w:rPr>
          <w:rFonts w:cs="Arial"/>
          <w:szCs w:val="24"/>
        </w:rPr>
        <w:t xml:space="preserve"> that</w:t>
      </w:r>
      <w:r w:rsidRPr="001E0710">
        <w:rPr>
          <w:rFonts w:cs="Arial"/>
          <w:szCs w:val="24"/>
        </w:rPr>
        <w:t xml:space="preserve"> many of the factors which lead to biased outcomes feel large and outside our control</w:t>
      </w:r>
      <w:r w:rsidR="00035A3E" w:rsidRPr="001E0710">
        <w:rPr>
          <w:rFonts w:cs="Arial"/>
          <w:szCs w:val="24"/>
        </w:rPr>
        <w:t>.</w:t>
      </w:r>
      <w:r w:rsidRPr="001E0710">
        <w:rPr>
          <w:rFonts w:cs="Arial"/>
          <w:szCs w:val="24"/>
        </w:rPr>
        <w:t xml:space="preserve"> </w:t>
      </w:r>
      <w:r w:rsidR="00035A3E" w:rsidRPr="001E0710">
        <w:rPr>
          <w:rFonts w:cs="Arial"/>
          <w:szCs w:val="24"/>
        </w:rPr>
        <w:t>H</w:t>
      </w:r>
      <w:r w:rsidRPr="001E0710">
        <w:rPr>
          <w:rFonts w:cs="Arial"/>
          <w:szCs w:val="24"/>
        </w:rPr>
        <w:t xml:space="preserve">owever, at every stage, our imagination of </w:t>
      </w:r>
      <w:r w:rsidR="00054339">
        <w:rPr>
          <w:rFonts w:cs="Arial"/>
          <w:szCs w:val="24"/>
        </w:rPr>
        <w:t>what is</w:t>
      </w:r>
      <w:r w:rsidRPr="001E0710">
        <w:rPr>
          <w:rFonts w:cs="Arial"/>
          <w:szCs w:val="24"/>
        </w:rPr>
        <w:t xml:space="preserve"> possible limits our actions.</w:t>
      </w:r>
    </w:p>
    <w:p w14:paraId="25B0D9D1" w14:textId="7E11D18B" w:rsidR="00704C08" w:rsidRPr="001E0710" w:rsidRDefault="00000000" w:rsidP="005405DD">
      <w:pPr>
        <w:spacing w:line="360" w:lineRule="auto"/>
        <w:ind w:firstLine="720"/>
        <w:jc w:val="both"/>
        <w:rPr>
          <w:rFonts w:cs="Arial"/>
          <w:szCs w:val="24"/>
        </w:rPr>
      </w:pPr>
      <w:r w:rsidRPr="001E0710">
        <w:rPr>
          <w:rFonts w:cs="Arial"/>
          <w:szCs w:val="24"/>
        </w:rPr>
        <w:t>There are real harms being perpetrated in our industry, with this report only showing the tip of the iceberg of harassment, discrimination, and the devaluing of women’</w:t>
      </w:r>
      <w:r w:rsidR="005405DD">
        <w:rPr>
          <w:rFonts w:cs="Arial"/>
          <w:szCs w:val="24"/>
        </w:rPr>
        <w:t>s</w:t>
      </w:r>
      <w:r w:rsidRPr="001E0710">
        <w:rPr>
          <w:rFonts w:cs="Arial"/>
          <w:szCs w:val="24"/>
        </w:rPr>
        <w:t xml:space="preserve"> work. It is all our responsibility to address this head-on, and to not let our self-image of being well-intentioned get in the way, but rather to let our values lead us to taking bold systemic action.</w:t>
      </w:r>
    </w:p>
    <w:p w14:paraId="558DF532" w14:textId="77777777" w:rsidR="00704C08" w:rsidRPr="001E0710" w:rsidRDefault="00000000">
      <w:pPr>
        <w:rPr>
          <w:rFonts w:cs="Arial"/>
          <w:sz w:val="32"/>
          <w:szCs w:val="32"/>
          <w:lang w:eastAsia="en-GB"/>
        </w:rPr>
      </w:pPr>
      <w:bookmarkStart w:id="52" w:name="_Stereotyping,_discrimination_and"/>
      <w:bookmarkStart w:id="53" w:name="_Gender_stereotypes_in"/>
      <w:bookmarkStart w:id="54" w:name="_Why_do_we"/>
      <w:bookmarkStart w:id="55" w:name="_What_is_the"/>
      <w:bookmarkEnd w:id="22"/>
      <w:bookmarkEnd w:id="23"/>
      <w:bookmarkEnd w:id="52"/>
      <w:bookmarkEnd w:id="53"/>
      <w:bookmarkEnd w:id="54"/>
      <w:bookmarkEnd w:id="55"/>
      <w:r w:rsidRPr="001E0710">
        <w:rPr>
          <w:rFonts w:cs="Arial"/>
        </w:rPr>
        <w:br w:type="page"/>
      </w:r>
    </w:p>
    <w:p w14:paraId="567982A8" w14:textId="1A413F1C" w:rsidR="001453A1" w:rsidRPr="001E0710" w:rsidRDefault="00000000" w:rsidP="0024460A">
      <w:pPr>
        <w:pStyle w:val="Heading1"/>
        <w:rPr>
          <w:rFonts w:ascii="Arial" w:hAnsi="Arial" w:cs="Arial"/>
        </w:rPr>
      </w:pPr>
      <w:bookmarkStart w:id="56" w:name="_Toc195538165"/>
      <w:r w:rsidRPr="001E0710">
        <w:rPr>
          <w:rFonts w:ascii="Arial" w:hAnsi="Arial" w:cs="Arial"/>
        </w:rPr>
        <w:lastRenderedPageBreak/>
        <w:t>Industry recommendations</w:t>
      </w:r>
      <w:bookmarkEnd w:id="56"/>
    </w:p>
    <w:p w14:paraId="710B5D8A" w14:textId="729A2F84" w:rsidR="0024460A" w:rsidRDefault="005405DD" w:rsidP="0024460A">
      <w:pPr>
        <w:spacing w:line="360" w:lineRule="auto"/>
        <w:jc w:val="both"/>
        <w:rPr>
          <w:rFonts w:cs="Arial"/>
        </w:rPr>
      </w:pPr>
      <w:r>
        <w:rPr>
          <w:rFonts w:cs="Arial"/>
        </w:rPr>
        <w:t>T</w:t>
      </w:r>
      <w:r w:rsidR="00173BB7" w:rsidRPr="001E0710">
        <w:rPr>
          <w:rFonts w:cs="Arial"/>
        </w:rPr>
        <w:t xml:space="preserve">his report </w:t>
      </w:r>
      <w:r>
        <w:rPr>
          <w:rFonts w:cs="Arial"/>
        </w:rPr>
        <w:t>collected</w:t>
      </w:r>
      <w:r w:rsidR="00173BB7" w:rsidRPr="001E0710">
        <w:rPr>
          <w:rFonts w:cs="Arial"/>
        </w:rPr>
        <w:t xml:space="preserve"> information about gender disparit</w:t>
      </w:r>
      <w:r>
        <w:rPr>
          <w:rFonts w:cs="Arial"/>
        </w:rPr>
        <w:t>y</w:t>
      </w:r>
      <w:r w:rsidR="00173BB7" w:rsidRPr="001E0710">
        <w:rPr>
          <w:rFonts w:cs="Arial"/>
        </w:rPr>
        <w:t xml:space="preserve"> in </w:t>
      </w:r>
      <w:r w:rsidR="00A2121A">
        <w:rPr>
          <w:rFonts w:cs="Arial"/>
        </w:rPr>
        <w:t xml:space="preserve">the </w:t>
      </w:r>
      <w:r w:rsidR="00173BB7" w:rsidRPr="001E0710">
        <w:rPr>
          <w:rFonts w:cs="Arial"/>
        </w:rPr>
        <w:t xml:space="preserve">Scottish </w:t>
      </w:r>
      <w:r w:rsidR="00A2121A">
        <w:rPr>
          <w:rFonts w:cs="Arial"/>
        </w:rPr>
        <w:t>literary sector</w:t>
      </w:r>
      <w:r w:rsidR="00173BB7" w:rsidRPr="001E0710">
        <w:rPr>
          <w:rFonts w:cs="Arial"/>
        </w:rPr>
        <w:t>, ask</w:t>
      </w:r>
      <w:r>
        <w:rPr>
          <w:rFonts w:cs="Arial"/>
        </w:rPr>
        <w:t>ed</w:t>
      </w:r>
      <w:r w:rsidR="00173BB7" w:rsidRPr="001E0710">
        <w:rPr>
          <w:rFonts w:cs="Arial"/>
        </w:rPr>
        <w:t xml:space="preserve"> sector leaders about the causes of gender disparity, and analyse</w:t>
      </w:r>
      <w:r>
        <w:rPr>
          <w:rFonts w:cs="Arial"/>
        </w:rPr>
        <w:t>d</w:t>
      </w:r>
      <w:r w:rsidR="00173BB7" w:rsidRPr="001E0710">
        <w:rPr>
          <w:rFonts w:cs="Arial"/>
        </w:rPr>
        <w:t xml:space="preserve"> why this disparity continues. However, information and analysis is not enough: we need to know how to </w:t>
      </w:r>
      <w:r w:rsidR="005E5872" w:rsidRPr="001E0710">
        <w:rPr>
          <w:rFonts w:cs="Arial"/>
        </w:rPr>
        <w:t xml:space="preserve">change this systemic inequality. Through this work, I’ve developed expertise on gender in </w:t>
      </w:r>
      <w:r w:rsidR="00A2121A">
        <w:rPr>
          <w:rFonts w:cs="Arial"/>
        </w:rPr>
        <w:t xml:space="preserve">the </w:t>
      </w:r>
      <w:r w:rsidR="005E5872" w:rsidRPr="001E0710">
        <w:rPr>
          <w:rFonts w:cs="Arial"/>
        </w:rPr>
        <w:t xml:space="preserve">Scottish </w:t>
      </w:r>
      <w:r w:rsidR="00A2121A">
        <w:rPr>
          <w:rFonts w:cs="Arial"/>
        </w:rPr>
        <w:t>literary sector</w:t>
      </w:r>
      <w:r w:rsidR="005E5872" w:rsidRPr="001E0710">
        <w:rPr>
          <w:rFonts w:cs="Arial"/>
        </w:rPr>
        <w:t>, and from that expertise I want to make three recommendations that I believe would be a starting point to make this change.</w:t>
      </w:r>
    </w:p>
    <w:p w14:paraId="4E251B4B" w14:textId="688F3AFE" w:rsidR="00173BB7" w:rsidRPr="001E0710" w:rsidRDefault="005E5872" w:rsidP="0024460A">
      <w:pPr>
        <w:spacing w:line="360" w:lineRule="auto"/>
        <w:ind w:firstLine="720"/>
        <w:jc w:val="both"/>
        <w:rPr>
          <w:rFonts w:cs="Arial"/>
        </w:rPr>
      </w:pPr>
      <w:r w:rsidRPr="001E0710">
        <w:rPr>
          <w:rFonts w:cs="Arial"/>
        </w:rPr>
        <w:t>This</w:t>
      </w:r>
      <w:r w:rsidR="00173BB7" w:rsidRPr="001E0710">
        <w:rPr>
          <w:rFonts w:cs="Arial"/>
        </w:rPr>
        <w:t xml:space="preserve"> was publicly funded research, and this information belongs to all of us in </w:t>
      </w:r>
      <w:r w:rsidR="00A2121A">
        <w:rPr>
          <w:rFonts w:cs="Arial"/>
        </w:rPr>
        <w:t xml:space="preserve">the </w:t>
      </w:r>
      <w:r w:rsidR="00173BB7" w:rsidRPr="001E0710">
        <w:rPr>
          <w:rFonts w:cs="Arial"/>
        </w:rPr>
        <w:t xml:space="preserve">Scottish </w:t>
      </w:r>
      <w:r w:rsidR="00A2121A">
        <w:rPr>
          <w:rFonts w:cs="Arial"/>
        </w:rPr>
        <w:t>literary sector</w:t>
      </w:r>
      <w:r w:rsidRPr="001E0710">
        <w:rPr>
          <w:rFonts w:cs="Arial"/>
        </w:rPr>
        <w:t xml:space="preserve">. </w:t>
      </w:r>
      <w:r w:rsidR="00173BB7" w:rsidRPr="001E0710">
        <w:rPr>
          <w:rFonts w:cs="Arial"/>
        </w:rPr>
        <w:t xml:space="preserve">I want us to be led by our values and </w:t>
      </w:r>
      <w:r w:rsidRPr="001E0710">
        <w:rPr>
          <w:rFonts w:cs="Arial"/>
        </w:rPr>
        <w:t xml:space="preserve">to </w:t>
      </w:r>
      <w:r w:rsidR="00173BB7" w:rsidRPr="001E0710">
        <w:rPr>
          <w:rFonts w:cs="Arial"/>
        </w:rPr>
        <w:t>let them inspire us to make a change</w:t>
      </w:r>
      <w:r w:rsidRPr="001E0710">
        <w:rPr>
          <w:rFonts w:cs="Arial"/>
        </w:rPr>
        <w:t xml:space="preserve">: </w:t>
      </w:r>
      <w:r w:rsidR="005405DD">
        <w:rPr>
          <w:rFonts w:cs="Arial"/>
        </w:rPr>
        <w:t>O</w:t>
      </w:r>
      <w:r w:rsidRPr="001E0710">
        <w:rPr>
          <w:rFonts w:cs="Arial"/>
        </w:rPr>
        <w:t>ur values should motivate us to act, not give us a reason to believe we’ve already done enough. I did not write this report to lay the blame on any one person or organisation, but to make clear what the situation is so that we can act to change it together. W</w:t>
      </w:r>
      <w:r w:rsidR="00173BB7" w:rsidRPr="001E0710">
        <w:rPr>
          <w:rFonts w:cs="Arial"/>
        </w:rPr>
        <w:t xml:space="preserve">e have never had this data about our sector before, and if we are shocked by </w:t>
      </w:r>
      <w:r w:rsidRPr="001E0710">
        <w:rPr>
          <w:rFonts w:cs="Arial"/>
        </w:rPr>
        <w:t xml:space="preserve">numbers that do not </w:t>
      </w:r>
      <w:r w:rsidR="00173BB7" w:rsidRPr="001E0710">
        <w:rPr>
          <w:rFonts w:cs="Arial"/>
        </w:rPr>
        <w:t>represent Scotland</w:t>
      </w:r>
      <w:r w:rsidRPr="001E0710">
        <w:rPr>
          <w:rFonts w:cs="Arial"/>
        </w:rPr>
        <w:t>’s people or our values</w:t>
      </w:r>
      <w:r w:rsidR="00173BB7" w:rsidRPr="001E0710">
        <w:rPr>
          <w:rFonts w:cs="Arial"/>
        </w:rPr>
        <w:t xml:space="preserve"> then we should do something about it</w:t>
      </w:r>
      <w:r w:rsidRPr="001E0710">
        <w:rPr>
          <w:rFonts w:cs="Arial"/>
        </w:rPr>
        <w:t>.</w:t>
      </w:r>
    </w:p>
    <w:p w14:paraId="61438464" w14:textId="6E1E7B59" w:rsidR="00B17922" w:rsidRPr="001E0710" w:rsidRDefault="005E5872" w:rsidP="0024460A">
      <w:pPr>
        <w:spacing w:line="360" w:lineRule="auto"/>
        <w:jc w:val="both"/>
        <w:rPr>
          <w:rFonts w:cs="Arial"/>
        </w:rPr>
      </w:pPr>
      <w:r w:rsidRPr="001E0710">
        <w:rPr>
          <w:rFonts w:cs="Arial"/>
        </w:rPr>
        <w:t>My recommendations are:</w:t>
      </w:r>
    </w:p>
    <w:p w14:paraId="3B953003" w14:textId="2CF23B36" w:rsidR="00704C08" w:rsidRPr="00AF09A1" w:rsidRDefault="00000000" w:rsidP="00A2121A">
      <w:pPr>
        <w:pStyle w:val="ListParagraph"/>
        <w:numPr>
          <w:ilvl w:val="0"/>
          <w:numId w:val="9"/>
        </w:numPr>
        <w:jc w:val="both"/>
        <w:rPr>
          <w:rStyle w:val="IntenseEmphasis"/>
        </w:rPr>
      </w:pPr>
      <w:r w:rsidRPr="00AF09A1">
        <w:rPr>
          <w:rStyle w:val="IntenseEmphasis"/>
        </w:rPr>
        <w:t>TRANSPARENCY</w:t>
      </w:r>
      <w:r w:rsidR="001E678E" w:rsidRPr="00AF09A1">
        <w:rPr>
          <w:rStyle w:val="IntenseEmphasis"/>
        </w:rPr>
        <w:t xml:space="preserve">. </w:t>
      </w:r>
      <w:r w:rsidRPr="00AF09A1">
        <w:rPr>
          <w:rStyle w:val="IntenseEmphasis"/>
        </w:rPr>
        <w:t xml:space="preserve">Organisations, institutions and companies should </w:t>
      </w:r>
      <w:r w:rsidR="00E95C32" w:rsidRPr="00AF09A1">
        <w:rPr>
          <w:rStyle w:val="IntenseEmphasis"/>
        </w:rPr>
        <w:t>conduct</w:t>
      </w:r>
      <w:r w:rsidR="005E5872" w:rsidRPr="00AF09A1">
        <w:rPr>
          <w:rStyle w:val="IntenseEmphasis"/>
        </w:rPr>
        <w:t xml:space="preserve"> a regular</w:t>
      </w:r>
      <w:r w:rsidRPr="00AF09A1">
        <w:rPr>
          <w:rStyle w:val="IntenseEmphasis"/>
        </w:rPr>
        <w:t xml:space="preserve"> audit </w:t>
      </w:r>
      <w:r w:rsidR="005E5872" w:rsidRPr="00AF09A1">
        <w:rPr>
          <w:rStyle w:val="IntenseEmphasis"/>
        </w:rPr>
        <w:t xml:space="preserve">of </w:t>
      </w:r>
      <w:r w:rsidRPr="00AF09A1">
        <w:rPr>
          <w:rStyle w:val="IntenseEmphasis"/>
        </w:rPr>
        <w:t xml:space="preserve">the demographics of </w:t>
      </w:r>
      <w:r w:rsidR="00B17922">
        <w:rPr>
          <w:rStyle w:val="IntenseEmphasis"/>
        </w:rPr>
        <w:t>authors they work with (e.g. through publishing, programming, shortlisting, receiving submissions etc</w:t>
      </w:r>
      <w:r w:rsidRPr="00AF09A1">
        <w:rPr>
          <w:rStyle w:val="IntenseEmphasis"/>
        </w:rPr>
        <w:t>.</w:t>
      </w:r>
      <w:r w:rsidR="00054339">
        <w:rPr>
          <w:rStyle w:val="IntenseEmphasis"/>
        </w:rPr>
        <w:t>).</w:t>
      </w:r>
      <w:r w:rsidRPr="00AF09A1">
        <w:rPr>
          <w:rStyle w:val="IntenseEmphasis"/>
        </w:rPr>
        <w:t xml:space="preserve"> </w:t>
      </w:r>
      <w:r w:rsidR="00E95C32" w:rsidRPr="00AF09A1">
        <w:rPr>
          <w:rStyle w:val="IntenseEmphasis"/>
        </w:rPr>
        <w:t>Wherever possible, a</w:t>
      </w:r>
      <w:r w:rsidRPr="00AF09A1">
        <w:rPr>
          <w:rStyle w:val="IntenseEmphasis"/>
        </w:rPr>
        <w:t>nonymised findings should be made public, including wages</w:t>
      </w:r>
      <w:r w:rsidR="00E95C32" w:rsidRPr="00AF09A1">
        <w:rPr>
          <w:rStyle w:val="IntenseEmphasis"/>
        </w:rPr>
        <w:t>/wage bands</w:t>
      </w:r>
      <w:r w:rsidRPr="00AF09A1">
        <w:rPr>
          <w:rStyle w:val="IntenseEmphasis"/>
        </w:rPr>
        <w:t>, advances and royalties.</w:t>
      </w:r>
    </w:p>
    <w:p w14:paraId="4B353367" w14:textId="4CF29178" w:rsidR="005405DD" w:rsidRPr="005405DD" w:rsidRDefault="00000000" w:rsidP="005405DD">
      <w:pPr>
        <w:spacing w:line="360" w:lineRule="auto"/>
        <w:jc w:val="both"/>
        <w:rPr>
          <w:rFonts w:cs="Arial"/>
        </w:rPr>
      </w:pPr>
      <w:r w:rsidRPr="001E0710">
        <w:rPr>
          <w:rFonts w:cs="Arial"/>
        </w:rPr>
        <w:t>Counting gender data is not straightforward, especially because oppression is not based solely on gender. Instead, oppression functions intersectionally</w:t>
      </w:r>
      <w:r w:rsidR="005E5872" w:rsidRPr="001E0710">
        <w:rPr>
          <w:rFonts w:cs="Arial"/>
        </w:rPr>
        <w:t>,</w:t>
      </w:r>
      <w:r w:rsidR="00684D21" w:rsidRPr="00715DA1">
        <w:rPr>
          <w:rStyle w:val="FootnoteReference"/>
        </w:rPr>
        <w:footnoteReference w:id="59"/>
      </w:r>
      <w:r w:rsidRPr="001E0710">
        <w:rPr>
          <w:rFonts w:cs="Arial"/>
        </w:rPr>
        <w:t xml:space="preserve"> and </w:t>
      </w:r>
      <w:r w:rsidR="005405DD">
        <w:rPr>
          <w:rFonts w:cs="Arial"/>
        </w:rPr>
        <w:t>information</w:t>
      </w:r>
      <w:r w:rsidRPr="001E0710">
        <w:rPr>
          <w:rFonts w:cs="Arial"/>
        </w:rPr>
        <w:t xml:space="preserve"> on ethnicity, disability, class, education, sexuality, religion, geographical location, caring responsibilities </w:t>
      </w:r>
      <w:r w:rsidR="005E5872" w:rsidRPr="001E0710">
        <w:rPr>
          <w:rFonts w:cs="Arial"/>
        </w:rPr>
        <w:t xml:space="preserve">and other axes of oppression </w:t>
      </w:r>
      <w:r w:rsidRPr="001E0710">
        <w:rPr>
          <w:rFonts w:cs="Arial"/>
        </w:rPr>
        <w:t xml:space="preserve">is very difficult to gather without having participants complete an equality questionnaire. </w:t>
      </w:r>
      <w:r w:rsidR="005E5872" w:rsidRPr="001E0710">
        <w:rPr>
          <w:rFonts w:cs="Arial"/>
        </w:rPr>
        <w:t>While my initial research was funded, completing the analysis and collating this report took a further two years of unfunded part-time work. Ongoing reporting, and reporting that is more thorough, would take significant funding. However, o</w:t>
      </w:r>
      <w:r w:rsidRPr="001E0710">
        <w:rPr>
          <w:rFonts w:cs="Arial"/>
        </w:rPr>
        <w:t xml:space="preserve">rganisations themselves are </w:t>
      </w:r>
      <w:r w:rsidR="005E5872" w:rsidRPr="001E0710">
        <w:rPr>
          <w:rFonts w:cs="Arial"/>
        </w:rPr>
        <w:lastRenderedPageBreak/>
        <w:t>arguably</w:t>
      </w:r>
      <w:r w:rsidR="005E5872" w:rsidRPr="001E0710" w:rsidDel="005E5872">
        <w:rPr>
          <w:rFonts w:cs="Arial"/>
        </w:rPr>
        <w:t xml:space="preserve"> </w:t>
      </w:r>
      <w:r w:rsidRPr="001E0710">
        <w:rPr>
          <w:rFonts w:cs="Arial"/>
        </w:rPr>
        <w:t>best placed to conduct these audits as they have direct access and knowledge about the authors who they work with and can use equalities questionnaires.</w:t>
      </w:r>
      <w:r w:rsidR="005405DD">
        <w:rPr>
          <w:rFonts w:cs="Arial"/>
        </w:rPr>
        <w:t xml:space="preserve"> Collecting </w:t>
      </w:r>
      <w:r w:rsidR="005405DD" w:rsidRPr="005405DD">
        <w:rPr>
          <w:rFonts w:cs="Arial"/>
          <w:szCs w:val="24"/>
        </w:rPr>
        <w:t xml:space="preserve">equalities data </w:t>
      </w:r>
      <w:r w:rsidR="005405DD">
        <w:rPr>
          <w:rFonts w:cs="Arial"/>
          <w:szCs w:val="24"/>
        </w:rPr>
        <w:t>puts</w:t>
      </w:r>
      <w:r w:rsidR="005405DD" w:rsidRPr="005405DD">
        <w:rPr>
          <w:rFonts w:cs="Arial"/>
          <w:szCs w:val="24"/>
        </w:rPr>
        <w:t xml:space="preserve"> pressure </w:t>
      </w:r>
      <w:r w:rsidR="005405DD">
        <w:rPr>
          <w:rFonts w:cs="Arial"/>
          <w:szCs w:val="24"/>
        </w:rPr>
        <w:t>on</w:t>
      </w:r>
      <w:r w:rsidR="005405DD" w:rsidRPr="005405DD">
        <w:rPr>
          <w:rFonts w:cs="Arial"/>
          <w:szCs w:val="24"/>
        </w:rPr>
        <w:t xml:space="preserve"> minorities to disclose information about themselves, so any data collection needs to be done with safeguarding plans in place.</w:t>
      </w:r>
    </w:p>
    <w:p w14:paraId="6B3D1414" w14:textId="0CC2C8D0" w:rsidR="00704C08" w:rsidRPr="001E0710" w:rsidRDefault="00D46E58" w:rsidP="0024460A">
      <w:pPr>
        <w:spacing w:line="360" w:lineRule="auto"/>
        <w:ind w:firstLine="709"/>
        <w:jc w:val="both"/>
        <w:rPr>
          <w:rFonts w:cs="Arial"/>
        </w:rPr>
      </w:pPr>
      <w:r w:rsidRPr="001E0710">
        <w:rPr>
          <w:rFonts w:cs="Arial"/>
        </w:rPr>
        <w:t>It is not enough just to collect information on who is published, reviewed, awarded and celebrated at festivals: the</w:t>
      </w:r>
      <w:r w:rsidR="00B17922">
        <w:rPr>
          <w:rFonts w:cs="Arial"/>
        </w:rPr>
        <w:t xml:space="preserve"> (anonymised) information </w:t>
      </w:r>
      <w:r w:rsidRPr="001E0710">
        <w:rPr>
          <w:rFonts w:cs="Arial"/>
        </w:rPr>
        <w:t>needs to be made public. Publishing this kind of information transparently could enable the literary sector to hold itself to account, and support collaborators and authors in making informed decisions about the organisations they work with. Change requires accountability.</w:t>
      </w:r>
    </w:p>
    <w:p w14:paraId="213845CB" w14:textId="5E40E8D0" w:rsidR="00704C08" w:rsidRPr="00AF09A1" w:rsidRDefault="00D46E58" w:rsidP="0024460A">
      <w:pPr>
        <w:pStyle w:val="ListParagraph"/>
        <w:numPr>
          <w:ilvl w:val="0"/>
          <w:numId w:val="9"/>
        </w:numPr>
        <w:jc w:val="both"/>
        <w:rPr>
          <w:rStyle w:val="IntenseEmphasis"/>
        </w:rPr>
      </w:pPr>
      <w:r w:rsidRPr="00AF09A1">
        <w:rPr>
          <w:rStyle w:val="IntenseEmphasis"/>
        </w:rPr>
        <w:t>INTEGRATING DIVERSITY. Organisations, institutions and companies should build equality, diversity and inclusion into their publishing, reviewing, platforming, submission and shortlisting processes, to empower decision-makers and all employees to question exclusionary practices.</w:t>
      </w:r>
    </w:p>
    <w:p w14:paraId="06DA4069" w14:textId="4668058F" w:rsidR="00704C08" w:rsidRPr="001E0710" w:rsidRDefault="00D46E58" w:rsidP="0024460A">
      <w:pPr>
        <w:spacing w:line="360" w:lineRule="auto"/>
        <w:jc w:val="both"/>
        <w:rPr>
          <w:rFonts w:cs="Arial"/>
        </w:rPr>
      </w:pPr>
      <w:r w:rsidRPr="001E0710">
        <w:rPr>
          <w:rFonts w:cs="Arial"/>
        </w:rPr>
        <w:t>This recommendation draws on</w:t>
      </w:r>
      <w:r w:rsidR="00054339">
        <w:rPr>
          <w:rFonts w:cs="Arial"/>
        </w:rPr>
        <w:t xml:space="preserve"> </w:t>
      </w:r>
      <w:r w:rsidR="00D33594">
        <w:rPr>
          <w:rFonts w:cs="Arial"/>
        </w:rPr>
        <w:t>the</w:t>
      </w:r>
      <w:r w:rsidR="00054339">
        <w:rPr>
          <w:rFonts w:cs="Arial"/>
        </w:rPr>
        <w:t xml:space="preserve"> interview with</w:t>
      </w:r>
      <w:r w:rsidRPr="001E0710">
        <w:rPr>
          <w:rFonts w:cs="Arial"/>
        </w:rPr>
        <w:t xml:space="preserve"> </w:t>
      </w:r>
      <w:r w:rsidR="00C47EE5" w:rsidRPr="001E0710">
        <w:rPr>
          <w:rFonts w:cs="Arial"/>
        </w:rPr>
        <w:t>Claudia, a woman of colour with experience working across the Scottish literary industry</w:t>
      </w:r>
      <w:r w:rsidRPr="001E0710">
        <w:rPr>
          <w:rFonts w:cs="Arial"/>
        </w:rPr>
        <w:t>, who noted that equality, diversity and inclusion expertise – lived experience and/or training – should be seen as a ‘fundamental skill’ in recruitment:</w:t>
      </w:r>
    </w:p>
    <w:p w14:paraId="7DE5B071" w14:textId="0514BB38" w:rsidR="00A62D47" w:rsidRPr="001E0710" w:rsidRDefault="00000000" w:rsidP="0024460A">
      <w:pPr>
        <w:pStyle w:val="Quote"/>
      </w:pPr>
      <w:r w:rsidRPr="001E0710">
        <w:t>There should be the assumption that you have to work with women, that you have to work with minorities, and if you make them uncomfortable then you shouldn't get the job. This should be seen as integral to hiring practices. Equality, diversity and inclusion and being somebody that people feel comfortable and safe around is not an add-on, it is a fundamental skill. And if you don't have that fundamental skill, you shouldn't work there.</w:t>
      </w:r>
    </w:p>
    <w:p w14:paraId="217B6097" w14:textId="53442873" w:rsidR="00704C08" w:rsidRPr="001E0710" w:rsidRDefault="00D46E58" w:rsidP="0024460A">
      <w:pPr>
        <w:spacing w:line="360" w:lineRule="auto"/>
        <w:jc w:val="both"/>
        <w:rPr>
          <w:rFonts w:cs="Arial"/>
        </w:rPr>
      </w:pPr>
      <w:r w:rsidRPr="001E0710">
        <w:rPr>
          <w:rFonts w:cs="Arial"/>
        </w:rPr>
        <w:t>This recommendation will be more successful if equalities data is transparent, as per recommendation 1. If organisations – and their workers – are able to see clear information on who they are working with, it will be clearer where there are shortcomings in equality, diversity and inclusion work, and what needs to change.</w:t>
      </w:r>
    </w:p>
    <w:p w14:paraId="35143354" w14:textId="216F716E" w:rsidR="00704C08" w:rsidRPr="00AF09A1" w:rsidRDefault="00D46E58" w:rsidP="0024460A">
      <w:pPr>
        <w:pStyle w:val="ListParagraph"/>
        <w:numPr>
          <w:ilvl w:val="0"/>
          <w:numId w:val="9"/>
        </w:numPr>
        <w:spacing w:after="0"/>
        <w:jc w:val="both"/>
        <w:rPr>
          <w:rStyle w:val="IntenseEmphasis"/>
        </w:rPr>
      </w:pPr>
      <w:r w:rsidRPr="00AF09A1">
        <w:rPr>
          <w:rStyle w:val="IntenseEmphasis"/>
        </w:rPr>
        <w:t>REPORTING GENDER-BASED HARASSMENT. The Scottish literary sector should implement systems for report</w:t>
      </w:r>
      <w:r w:rsidR="00D33594">
        <w:rPr>
          <w:rStyle w:val="IntenseEmphasis"/>
        </w:rPr>
        <w:t>ing</w:t>
      </w:r>
      <w:r w:rsidRPr="00AF09A1">
        <w:rPr>
          <w:rStyle w:val="IntenseEmphasis"/>
        </w:rPr>
        <w:t xml:space="preserve"> gender-based harassment, intimidation, discrimination and violence.</w:t>
      </w:r>
    </w:p>
    <w:p w14:paraId="6301E944" w14:textId="55975015" w:rsidR="00704C08" w:rsidRDefault="00000000" w:rsidP="0024460A">
      <w:pPr>
        <w:spacing w:line="360" w:lineRule="auto"/>
        <w:jc w:val="both"/>
        <w:rPr>
          <w:rFonts w:cs="Arial"/>
        </w:rPr>
      </w:pPr>
      <w:r w:rsidRPr="001E0710">
        <w:rPr>
          <w:rFonts w:cs="Arial"/>
        </w:rPr>
        <w:lastRenderedPageBreak/>
        <w:t>This final recommendation draws on</w:t>
      </w:r>
      <w:r w:rsidR="00D33594">
        <w:rPr>
          <w:rFonts w:cs="Arial"/>
        </w:rPr>
        <w:t xml:space="preserve"> comments from</w:t>
      </w:r>
      <w:r w:rsidRPr="001E0710">
        <w:rPr>
          <w:rFonts w:cs="Arial"/>
        </w:rPr>
        <w:t xml:space="preserve"> interviewees who highlighted discriminatory working practices, sexual harassment and intimidati</w:t>
      </w:r>
      <w:r w:rsidR="005405DD">
        <w:rPr>
          <w:rFonts w:cs="Arial"/>
        </w:rPr>
        <w:t>on, and</w:t>
      </w:r>
      <w:r w:rsidR="00D46E58" w:rsidRPr="001E0710">
        <w:rPr>
          <w:rFonts w:cs="Arial"/>
        </w:rPr>
        <w:t xml:space="preserve"> </w:t>
      </w:r>
      <w:r w:rsidRPr="001E0710">
        <w:rPr>
          <w:rFonts w:cs="Arial"/>
        </w:rPr>
        <w:t xml:space="preserve">biased behaviour in promotion and progression. When </w:t>
      </w:r>
      <w:r w:rsidRPr="001E0710">
        <w:rPr>
          <w:rFonts w:cs="Arial"/>
          <w:i/>
          <w:iCs/>
        </w:rPr>
        <w:t>The Bookseller</w:t>
      </w:r>
      <w:r w:rsidRPr="001E0710">
        <w:rPr>
          <w:rFonts w:cs="Arial"/>
        </w:rPr>
        <w:t xml:space="preserve"> conducted a survey on sexual harassment in the book industry in 2017, over</w:t>
      </w:r>
      <w:r w:rsidRPr="001E0710">
        <w:rPr>
          <w:rFonts w:cs="Arial"/>
          <w:i/>
          <w:iCs/>
        </w:rPr>
        <w:t xml:space="preserve"> </w:t>
      </w:r>
      <w:r w:rsidRPr="001E0710">
        <w:rPr>
          <w:rFonts w:cs="Arial"/>
        </w:rPr>
        <w:t>half of survey respondents reported having been sexually harassed</w:t>
      </w:r>
      <w:r w:rsidR="00D46E58" w:rsidRPr="001E0710">
        <w:rPr>
          <w:rFonts w:cs="Arial"/>
        </w:rPr>
        <w:t>.</w:t>
      </w:r>
      <w:r w:rsidR="00684D21" w:rsidRPr="00715DA1">
        <w:rPr>
          <w:rStyle w:val="FootnoteReference"/>
        </w:rPr>
        <w:footnoteReference w:id="60"/>
      </w:r>
      <w:r w:rsidRPr="001E0710">
        <w:rPr>
          <w:rFonts w:cs="Arial"/>
        </w:rPr>
        <w:t xml:space="preserve"> Organisations in the Scottish literary sector need to ensure there is provision of a safe, sector-wide way for people to report this behaviour.</w:t>
      </w:r>
    </w:p>
    <w:p w14:paraId="70CFE465" w14:textId="487F667B" w:rsidR="00BE646B" w:rsidRPr="00283383" w:rsidRDefault="00BE646B" w:rsidP="00283383">
      <w:pPr>
        <w:spacing w:line="360" w:lineRule="auto"/>
      </w:pPr>
      <w:r w:rsidRPr="00283383">
        <w:tab/>
        <w:t xml:space="preserve">An example </w:t>
      </w:r>
      <w:r w:rsidR="00283383">
        <w:t>from other creative sectors are</w:t>
      </w:r>
      <w:r w:rsidRPr="00283383">
        <w:t xml:space="preserve"> </w:t>
      </w:r>
      <w:r w:rsidR="00283383" w:rsidRPr="00283383">
        <w:t>the sexual harassment support service set up by the events, broadcasting, theatre and arts union Bectu</w:t>
      </w:r>
      <w:r w:rsidR="00283383">
        <w:t>,</w:t>
      </w:r>
      <w:r w:rsidR="00283383" w:rsidRPr="00715DA1">
        <w:rPr>
          <w:rStyle w:val="FootnoteReference"/>
        </w:rPr>
        <w:footnoteReference w:id="61"/>
      </w:r>
      <w:r w:rsidR="00283383">
        <w:t xml:space="preserve"> or the legal advice, counselling and support available through the Film+TV Charity.</w:t>
      </w:r>
      <w:r w:rsidR="00283383" w:rsidRPr="00715DA1">
        <w:rPr>
          <w:rStyle w:val="FootnoteReference"/>
        </w:rPr>
        <w:footnoteReference w:id="62"/>
      </w:r>
    </w:p>
    <w:p w14:paraId="5B5EC80B" w14:textId="77777777" w:rsidR="00704C08" w:rsidRPr="001E0710" w:rsidRDefault="00000000">
      <w:pPr>
        <w:rPr>
          <w:rFonts w:cs="Arial"/>
          <w:sz w:val="32"/>
          <w:szCs w:val="32"/>
          <w:lang w:eastAsia="en-GB"/>
        </w:rPr>
      </w:pPr>
      <w:r w:rsidRPr="001E0710">
        <w:rPr>
          <w:rFonts w:cs="Arial"/>
        </w:rPr>
        <w:br w:type="page"/>
      </w:r>
    </w:p>
    <w:p w14:paraId="23B4233F" w14:textId="6C62A692" w:rsidR="00FF66DD" w:rsidRPr="001E0710" w:rsidRDefault="00000000" w:rsidP="0024460A">
      <w:pPr>
        <w:pStyle w:val="Heading1"/>
        <w:rPr>
          <w:rFonts w:ascii="Arial" w:hAnsi="Arial" w:cs="Arial"/>
        </w:rPr>
      </w:pPr>
      <w:bookmarkStart w:id="57" w:name="_Toc195538166"/>
      <w:r w:rsidRPr="001E0710">
        <w:rPr>
          <w:rFonts w:ascii="Arial" w:hAnsi="Arial" w:cs="Arial"/>
        </w:rPr>
        <w:lastRenderedPageBreak/>
        <w:t>Conclusion</w:t>
      </w:r>
      <w:bookmarkEnd w:id="57"/>
    </w:p>
    <w:p w14:paraId="46F52262" w14:textId="4153BC51" w:rsidR="0024460A" w:rsidRDefault="00FF66DD" w:rsidP="0024460A">
      <w:pPr>
        <w:spacing w:line="360" w:lineRule="auto"/>
        <w:jc w:val="both"/>
        <w:rPr>
          <w:rFonts w:cs="Arial"/>
        </w:rPr>
      </w:pPr>
      <w:r w:rsidRPr="001E0710">
        <w:rPr>
          <w:rFonts w:cs="Arial"/>
        </w:rPr>
        <w:t>In 2018, I was invited to EIBF for a panel discussion on gender inequality in literature.</w:t>
      </w:r>
      <w:r w:rsidRPr="00715DA1">
        <w:rPr>
          <w:rStyle w:val="FootnoteReference"/>
        </w:rPr>
        <w:footnoteReference w:id="63"/>
      </w:r>
      <w:r w:rsidRPr="001E0710">
        <w:rPr>
          <w:rFonts w:cs="Arial"/>
        </w:rPr>
        <w:t xml:space="preserve"> I presented initial findings from this research, and created a folder with printed graphs for attendees to read. After my presentation, I spoke to a female author who had been looking through the folder. She told me, </w:t>
      </w:r>
      <w:r w:rsidR="005405DD">
        <w:rPr>
          <w:rFonts w:cs="Arial"/>
        </w:rPr>
        <w:t>“</w:t>
      </w:r>
      <w:r w:rsidRPr="001E0710">
        <w:rPr>
          <w:rFonts w:cs="Arial"/>
        </w:rPr>
        <w:t>I thought it was just me who wasn’t getting reviewed!</w:t>
      </w:r>
      <w:r w:rsidR="005405DD">
        <w:rPr>
          <w:rFonts w:cs="Arial"/>
        </w:rPr>
        <w:t>”</w:t>
      </w:r>
      <w:r w:rsidRPr="001E0710">
        <w:rPr>
          <w:rFonts w:cs="Arial"/>
        </w:rPr>
        <w:t xml:space="preserve"> I think of this writer often, and I hope these findings will help others understand the systemic issues they face. Women writers have been systematically excluded from the Scottish literary sector in the 20</w:t>
      </w:r>
      <w:r w:rsidRPr="001E0710">
        <w:rPr>
          <w:rFonts w:cs="Arial"/>
          <w:vertAlign w:val="superscript"/>
        </w:rPr>
        <w:t>th</w:t>
      </w:r>
      <w:r w:rsidRPr="001E0710">
        <w:rPr>
          <w:rFonts w:cs="Arial"/>
        </w:rPr>
        <w:t xml:space="preserve"> and 21</w:t>
      </w:r>
      <w:r w:rsidRPr="001E0710">
        <w:rPr>
          <w:rFonts w:cs="Arial"/>
          <w:vertAlign w:val="superscript"/>
        </w:rPr>
        <w:t>st</w:t>
      </w:r>
      <w:r w:rsidRPr="001E0710">
        <w:rPr>
          <w:rFonts w:cs="Arial"/>
        </w:rPr>
        <w:t xml:space="preserve"> century.</w:t>
      </w:r>
    </w:p>
    <w:p w14:paraId="4BA45100" w14:textId="55C9E3ED" w:rsidR="0024460A" w:rsidRDefault="00000000" w:rsidP="0024460A">
      <w:pPr>
        <w:spacing w:line="360" w:lineRule="auto"/>
        <w:ind w:firstLine="720"/>
        <w:jc w:val="both"/>
        <w:rPr>
          <w:rFonts w:cs="Arial"/>
        </w:rPr>
      </w:pPr>
      <w:r w:rsidRPr="001E0710">
        <w:rPr>
          <w:rFonts w:cs="Arial"/>
        </w:rPr>
        <w:t xml:space="preserve">Knowledge is power, and with power comes responsibility. This body of quantitative and qualitative evidence shows that gender inequality is a live and persistent issue in the contemporary Scottish literary sector. </w:t>
      </w:r>
      <w:r w:rsidR="009E38F5" w:rsidRPr="001E0710">
        <w:rPr>
          <w:rFonts w:cs="Arial"/>
        </w:rPr>
        <w:t xml:space="preserve">This </w:t>
      </w:r>
      <w:r w:rsidR="005405DD">
        <w:rPr>
          <w:rFonts w:cs="Arial"/>
        </w:rPr>
        <w:t>report</w:t>
      </w:r>
      <w:r w:rsidR="009E38F5" w:rsidRPr="001E0710">
        <w:rPr>
          <w:rFonts w:cs="Arial"/>
        </w:rPr>
        <w:t xml:space="preserve"> makes clear what many in the Scottish literary sector already </w:t>
      </w:r>
      <w:r w:rsidR="00D33594">
        <w:rPr>
          <w:rFonts w:cs="Arial"/>
        </w:rPr>
        <w:t>know</w:t>
      </w:r>
      <w:r w:rsidR="009E38F5" w:rsidRPr="001E0710">
        <w:rPr>
          <w:rFonts w:cs="Arial"/>
        </w:rPr>
        <w:t xml:space="preserve"> through their lived experience. It</w:t>
      </w:r>
      <w:r w:rsidR="009E38F5" w:rsidRPr="001E0710" w:rsidDel="009E38F5">
        <w:rPr>
          <w:rFonts w:cs="Arial"/>
        </w:rPr>
        <w:t xml:space="preserve"> </w:t>
      </w:r>
      <w:r w:rsidRPr="001E0710">
        <w:rPr>
          <w:rFonts w:cs="Arial"/>
        </w:rPr>
        <w:t xml:space="preserve">is my hope that these findings will inspire organisations to closely examine their own </w:t>
      </w:r>
      <w:r w:rsidR="009E38F5" w:rsidRPr="001E0710">
        <w:rPr>
          <w:rFonts w:cs="Arial"/>
        </w:rPr>
        <w:t>work</w:t>
      </w:r>
      <w:r w:rsidRPr="001E0710">
        <w:rPr>
          <w:rFonts w:cs="Arial"/>
        </w:rPr>
        <w:t>.</w:t>
      </w:r>
    </w:p>
    <w:p w14:paraId="42B7B96B" w14:textId="162A3648" w:rsidR="0024460A" w:rsidRDefault="002754D6" w:rsidP="0024460A">
      <w:pPr>
        <w:spacing w:line="360" w:lineRule="auto"/>
        <w:ind w:firstLine="720"/>
        <w:jc w:val="both"/>
        <w:rPr>
          <w:rFonts w:cs="Arial"/>
          <w:szCs w:val="24"/>
        </w:rPr>
      </w:pPr>
      <w:r w:rsidRPr="005405DD">
        <w:rPr>
          <w:rFonts w:cs="Arial"/>
          <w:szCs w:val="24"/>
        </w:rPr>
        <w:t>Implement</w:t>
      </w:r>
      <w:r w:rsidR="005405DD" w:rsidRPr="005405DD">
        <w:rPr>
          <w:rFonts w:cs="Arial"/>
          <w:szCs w:val="24"/>
        </w:rPr>
        <w:t>ing</w:t>
      </w:r>
      <w:r w:rsidRPr="005405DD">
        <w:rPr>
          <w:rFonts w:cs="Arial"/>
          <w:szCs w:val="24"/>
        </w:rPr>
        <w:t xml:space="preserve"> the recommendations </w:t>
      </w:r>
      <w:r w:rsidR="005405DD" w:rsidRPr="005405DD">
        <w:rPr>
          <w:rFonts w:cs="Arial"/>
          <w:szCs w:val="24"/>
        </w:rPr>
        <w:t>needs</w:t>
      </w:r>
      <w:r w:rsidRPr="005405DD">
        <w:rPr>
          <w:rFonts w:cs="Arial"/>
          <w:szCs w:val="24"/>
        </w:rPr>
        <w:t xml:space="preserve"> dialogue with organisations and tastemakers</w:t>
      </w:r>
      <w:r w:rsidR="005405DD">
        <w:rPr>
          <w:rFonts w:cs="Arial"/>
          <w:szCs w:val="24"/>
        </w:rPr>
        <w:t>.</w:t>
      </w:r>
      <w:r w:rsidRPr="005405DD">
        <w:rPr>
          <w:rFonts w:cs="Arial"/>
          <w:szCs w:val="24"/>
        </w:rPr>
        <w:t xml:space="preserve"> </w:t>
      </w:r>
      <w:r w:rsidR="005405DD">
        <w:rPr>
          <w:rFonts w:cs="Arial"/>
          <w:szCs w:val="24"/>
        </w:rPr>
        <w:t>They</w:t>
      </w:r>
      <w:r w:rsidRPr="005405DD">
        <w:rPr>
          <w:rFonts w:cs="Arial"/>
          <w:szCs w:val="24"/>
        </w:rPr>
        <w:t xml:space="preserve"> </w:t>
      </w:r>
      <w:r w:rsidR="001D09B7" w:rsidRPr="005405DD">
        <w:rPr>
          <w:rFonts w:cs="Arial"/>
          <w:szCs w:val="24"/>
        </w:rPr>
        <w:t xml:space="preserve">are best placed to put them into practice, and </w:t>
      </w:r>
      <w:r w:rsidR="005405DD">
        <w:rPr>
          <w:rFonts w:cs="Arial"/>
          <w:szCs w:val="24"/>
        </w:rPr>
        <w:t>their</w:t>
      </w:r>
      <w:r w:rsidR="001D09B7" w:rsidRPr="005405DD">
        <w:rPr>
          <w:rFonts w:cs="Arial"/>
          <w:szCs w:val="24"/>
        </w:rPr>
        <w:t xml:space="preserve"> experience </w:t>
      </w:r>
      <w:r w:rsidR="005405DD">
        <w:rPr>
          <w:rFonts w:cs="Arial"/>
          <w:szCs w:val="24"/>
        </w:rPr>
        <w:t>in</w:t>
      </w:r>
      <w:r w:rsidR="001D09B7" w:rsidRPr="005405DD">
        <w:rPr>
          <w:rFonts w:cs="Arial"/>
          <w:szCs w:val="24"/>
        </w:rPr>
        <w:t xml:space="preserve"> the sector is crucial. </w:t>
      </w:r>
      <w:r w:rsidR="005405DD">
        <w:rPr>
          <w:rFonts w:cs="Arial"/>
          <w:szCs w:val="24"/>
        </w:rPr>
        <w:t>I</w:t>
      </w:r>
      <w:r w:rsidR="001D09B7" w:rsidRPr="005405DD">
        <w:rPr>
          <w:rFonts w:cs="Arial"/>
          <w:szCs w:val="24"/>
        </w:rPr>
        <w:t>mplementation cannot rely on volunteers and urgently requires funding, as this labour is resource-intensive.</w:t>
      </w:r>
    </w:p>
    <w:p w14:paraId="2BACEE8C" w14:textId="53C355BD" w:rsidR="0024460A" w:rsidRDefault="00B17922" w:rsidP="0024460A">
      <w:pPr>
        <w:spacing w:line="360" w:lineRule="auto"/>
        <w:ind w:firstLine="720"/>
        <w:jc w:val="both"/>
        <w:rPr>
          <w:rFonts w:cs="Arial"/>
        </w:rPr>
      </w:pPr>
      <w:r>
        <w:rPr>
          <w:rFonts w:cs="Arial"/>
        </w:rPr>
        <w:t>E</w:t>
      </w:r>
      <w:r w:rsidRPr="001E0710">
        <w:rPr>
          <w:rFonts w:cs="Arial"/>
        </w:rPr>
        <w:t xml:space="preserve">vidence of widespread and persistent inequality </w:t>
      </w:r>
      <w:r>
        <w:rPr>
          <w:rFonts w:cs="Arial"/>
        </w:rPr>
        <w:t>should enable</w:t>
      </w:r>
      <w:r w:rsidRPr="001E0710">
        <w:rPr>
          <w:rFonts w:cs="Arial"/>
        </w:rPr>
        <w:t xml:space="preserve"> writers, tastemakers, editors and publishers to take action on inequalities</w:t>
      </w:r>
      <w:r>
        <w:rPr>
          <w:rFonts w:cs="Arial"/>
        </w:rPr>
        <w:t>,</w:t>
      </w:r>
      <w:r w:rsidRPr="001E0710">
        <w:rPr>
          <w:rFonts w:cs="Arial"/>
        </w:rPr>
        <w:t xml:space="preserve"> or </w:t>
      </w:r>
      <w:r w:rsidR="00D33594">
        <w:rPr>
          <w:rFonts w:cs="Arial"/>
        </w:rPr>
        <w:t xml:space="preserve">to </w:t>
      </w:r>
      <w:r w:rsidRPr="001E0710">
        <w:rPr>
          <w:rFonts w:cs="Arial"/>
        </w:rPr>
        <w:t xml:space="preserve">put pressure on others to do so. </w:t>
      </w:r>
      <w:r>
        <w:rPr>
          <w:rFonts w:cs="Arial"/>
        </w:rPr>
        <w:t>Literature</w:t>
      </w:r>
      <w:r w:rsidRPr="001E0710">
        <w:rPr>
          <w:rFonts w:cs="Arial"/>
        </w:rPr>
        <w:t xml:space="preserve"> has embedded issues of gender discrimination</w:t>
      </w:r>
      <w:r w:rsidR="00035A3E" w:rsidRPr="001E0710">
        <w:rPr>
          <w:rFonts w:cs="Arial"/>
        </w:rPr>
        <w:t>.</w:t>
      </w:r>
      <w:r w:rsidRPr="001E0710">
        <w:rPr>
          <w:rFonts w:cs="Arial"/>
        </w:rPr>
        <w:t xml:space="preserve"> </w:t>
      </w:r>
      <w:r w:rsidR="00035A3E" w:rsidRPr="001E0710">
        <w:rPr>
          <w:rFonts w:cs="Arial"/>
        </w:rPr>
        <w:t>T</w:t>
      </w:r>
      <w:r w:rsidRPr="001E0710">
        <w:rPr>
          <w:rFonts w:cs="Arial"/>
        </w:rPr>
        <w:t>he evidence is clear: men outnumber women in publishing, reviewing</w:t>
      </w:r>
      <w:r w:rsidR="009E38F5" w:rsidRPr="001E0710">
        <w:rPr>
          <w:rFonts w:cs="Arial"/>
        </w:rPr>
        <w:t xml:space="preserve"> and </w:t>
      </w:r>
      <w:r w:rsidRPr="001E0710">
        <w:rPr>
          <w:rFonts w:cs="Arial"/>
        </w:rPr>
        <w:t xml:space="preserve">events at festivals 2017-2019, and in literary prizes </w:t>
      </w:r>
      <w:r w:rsidR="00F346C8">
        <w:rPr>
          <w:rFonts w:cs="Arial"/>
        </w:rPr>
        <w:t>1919</w:t>
      </w:r>
      <w:r w:rsidRPr="001E0710">
        <w:rPr>
          <w:rFonts w:cs="Arial"/>
        </w:rPr>
        <w:t>-202</w:t>
      </w:r>
      <w:r w:rsidR="00287443" w:rsidRPr="001E0710">
        <w:rPr>
          <w:rFonts w:cs="Arial"/>
        </w:rPr>
        <w:t>4</w:t>
      </w:r>
      <w:r w:rsidRPr="001E0710">
        <w:rPr>
          <w:rFonts w:cs="Arial"/>
        </w:rPr>
        <w:t>; and interview</w:t>
      </w:r>
      <w:r>
        <w:rPr>
          <w:rFonts w:cs="Arial"/>
        </w:rPr>
        <w:t xml:space="preserve">s </w:t>
      </w:r>
      <w:r w:rsidRPr="001E0710">
        <w:rPr>
          <w:rFonts w:cs="Arial"/>
        </w:rPr>
        <w:t xml:space="preserve">suggest that women’s </w:t>
      </w:r>
      <w:r>
        <w:rPr>
          <w:rFonts w:cs="Arial"/>
        </w:rPr>
        <w:t>work</w:t>
      </w:r>
      <w:r w:rsidRPr="001E0710">
        <w:rPr>
          <w:rFonts w:cs="Arial"/>
        </w:rPr>
        <w:t xml:space="preserve"> is not valued as highly as that of men, exacerbated by </w:t>
      </w:r>
      <w:r w:rsidR="009E38F5" w:rsidRPr="001E0710">
        <w:rPr>
          <w:rFonts w:cs="Arial"/>
        </w:rPr>
        <w:t xml:space="preserve">the idea that </w:t>
      </w:r>
      <w:r w:rsidRPr="001E0710">
        <w:rPr>
          <w:rFonts w:cs="Arial"/>
        </w:rPr>
        <w:t>this status quo</w:t>
      </w:r>
      <w:r w:rsidR="009E38F5" w:rsidRPr="001E0710">
        <w:rPr>
          <w:rFonts w:cs="Arial"/>
        </w:rPr>
        <w:t xml:space="preserve"> cannot be changed</w:t>
      </w:r>
      <w:r w:rsidRPr="001E0710">
        <w:rPr>
          <w:rFonts w:cs="Arial"/>
        </w:rPr>
        <w:t>.</w:t>
      </w:r>
    </w:p>
    <w:p w14:paraId="330C4B91" w14:textId="22ACC704" w:rsidR="00704C08" w:rsidRPr="001E0710" w:rsidRDefault="00B17922" w:rsidP="0024460A">
      <w:pPr>
        <w:spacing w:line="360" w:lineRule="auto"/>
        <w:ind w:firstLine="720"/>
        <w:jc w:val="both"/>
        <w:rPr>
          <w:rFonts w:cs="Arial"/>
        </w:rPr>
      </w:pPr>
      <w:r>
        <w:rPr>
          <w:rFonts w:cs="Arial"/>
        </w:rPr>
        <w:t>E</w:t>
      </w:r>
      <w:r w:rsidRPr="001E0710">
        <w:rPr>
          <w:rFonts w:cs="Arial"/>
        </w:rPr>
        <w:t xml:space="preserve">ach part of the literary sector </w:t>
      </w:r>
      <w:r w:rsidR="009E38F5" w:rsidRPr="001E0710">
        <w:rPr>
          <w:rFonts w:cs="Arial"/>
        </w:rPr>
        <w:t>must consider gender equality.</w:t>
      </w:r>
      <w:r w:rsidRPr="001E0710">
        <w:rPr>
          <w:rFonts w:cs="Arial"/>
        </w:rPr>
        <w:t xml:space="preserve"> </w:t>
      </w:r>
      <w:r w:rsidR="009E38F5" w:rsidRPr="001E0710">
        <w:rPr>
          <w:rFonts w:cs="Arial"/>
        </w:rPr>
        <w:t>N</w:t>
      </w:r>
      <w:r w:rsidRPr="001E0710">
        <w:rPr>
          <w:rFonts w:cs="Arial"/>
        </w:rPr>
        <w:t>o single part of the literary sector is uniquely at faul</w:t>
      </w:r>
      <w:r w:rsidR="00FF66DD" w:rsidRPr="001E0710">
        <w:rPr>
          <w:rFonts w:cs="Arial"/>
        </w:rPr>
        <w:t>t</w:t>
      </w:r>
      <w:r w:rsidRPr="001E0710">
        <w:rPr>
          <w:rFonts w:cs="Arial"/>
        </w:rPr>
        <w:t xml:space="preserve">, </w:t>
      </w:r>
      <w:r w:rsidR="00FF66DD" w:rsidRPr="001E0710">
        <w:rPr>
          <w:rFonts w:cs="Arial"/>
        </w:rPr>
        <w:t xml:space="preserve">but </w:t>
      </w:r>
      <w:r w:rsidRPr="001E0710">
        <w:rPr>
          <w:rFonts w:cs="Arial"/>
        </w:rPr>
        <w:t>neither is a</w:t>
      </w:r>
      <w:r w:rsidR="009E38F5" w:rsidRPr="001E0710">
        <w:rPr>
          <w:rFonts w:cs="Arial"/>
        </w:rPr>
        <w:t>ny</w:t>
      </w:r>
      <w:r w:rsidRPr="001E0710">
        <w:rPr>
          <w:rFonts w:cs="Arial"/>
        </w:rPr>
        <w:t xml:space="preserve"> single part uniquely responsible</w:t>
      </w:r>
      <w:r w:rsidR="00035A3E" w:rsidRPr="001E0710">
        <w:rPr>
          <w:rFonts w:cs="Arial"/>
        </w:rPr>
        <w:t>,</w:t>
      </w:r>
      <w:r w:rsidRPr="001E0710">
        <w:rPr>
          <w:rFonts w:cs="Arial"/>
        </w:rPr>
        <w:t xml:space="preserve"> or absolved of responsibility</w:t>
      </w:r>
      <w:r w:rsidR="00035A3E" w:rsidRPr="001E0710">
        <w:rPr>
          <w:rFonts w:cs="Arial"/>
        </w:rPr>
        <w:t xml:space="preserve">, </w:t>
      </w:r>
      <w:r w:rsidRPr="001E0710">
        <w:rPr>
          <w:rFonts w:cs="Arial"/>
        </w:rPr>
        <w:t xml:space="preserve">for addressing </w:t>
      </w:r>
      <w:r w:rsidR="00FF66DD" w:rsidRPr="001E0710">
        <w:rPr>
          <w:rFonts w:cs="Arial"/>
        </w:rPr>
        <w:t>gender inequality.</w:t>
      </w:r>
    </w:p>
    <w:p w14:paraId="641B4EBF" w14:textId="58BDFBD7" w:rsidR="00287443" w:rsidRPr="001E0710" w:rsidRDefault="00287443" w:rsidP="001E678E">
      <w:pPr>
        <w:pStyle w:val="Heading1"/>
        <w:rPr>
          <w:rFonts w:ascii="Arial" w:hAnsi="Arial" w:cs="Arial"/>
        </w:rPr>
      </w:pPr>
      <w:bookmarkStart w:id="58" w:name="_Toc195538167"/>
      <w:r w:rsidRPr="001E0710">
        <w:rPr>
          <w:rFonts w:ascii="Arial" w:hAnsi="Arial" w:cs="Arial"/>
        </w:rPr>
        <w:lastRenderedPageBreak/>
        <w:t>Acknowledgements</w:t>
      </w:r>
      <w:bookmarkEnd w:id="58"/>
    </w:p>
    <w:p w14:paraId="560CB43F" w14:textId="77777777" w:rsidR="0024460A" w:rsidRDefault="00287443" w:rsidP="0024460A">
      <w:pPr>
        <w:pStyle w:val="s12"/>
        <w:spacing w:before="0" w:beforeAutospacing="0" w:after="0" w:afterAutospacing="0" w:line="360" w:lineRule="auto"/>
        <w:jc w:val="both"/>
        <w:rPr>
          <w:rFonts w:ascii="Arial" w:hAnsi="Arial" w:cs="Arial"/>
          <w:color w:val="000000"/>
        </w:rPr>
      </w:pPr>
      <w:r w:rsidRPr="001E0710">
        <w:rPr>
          <w:rStyle w:val="s3"/>
          <w:rFonts w:ascii="Arial" w:hAnsi="Arial" w:cs="Arial"/>
          <w:color w:val="000000"/>
        </w:rPr>
        <w:t>This work would not have been possible without the kind guidance and support of my supervisors, Professor Claire Squires, Dr Elizabeth Reeder, and Caitrin Armstrong. Many thanks to Amina Shah for supervision in my first year. Thank you so much, for everything.</w:t>
      </w:r>
    </w:p>
    <w:p w14:paraId="2C1E77ED" w14:textId="77777777" w:rsidR="0024460A" w:rsidRDefault="0024460A" w:rsidP="0024460A">
      <w:pPr>
        <w:pStyle w:val="s12"/>
        <w:spacing w:before="0" w:beforeAutospacing="0" w:after="0" w:afterAutospacing="0" w:line="360" w:lineRule="auto"/>
        <w:jc w:val="both"/>
        <w:rPr>
          <w:rStyle w:val="s3"/>
          <w:rFonts w:ascii="Arial" w:hAnsi="Arial" w:cs="Arial"/>
          <w:color w:val="000000"/>
        </w:rPr>
      </w:pPr>
      <w:r>
        <w:rPr>
          <w:rFonts w:ascii="Arial" w:hAnsi="Arial" w:cs="Arial"/>
          <w:color w:val="000000"/>
        </w:rPr>
        <w:t xml:space="preserve"> </w:t>
      </w:r>
      <w:r>
        <w:rPr>
          <w:rFonts w:ascii="Arial" w:hAnsi="Arial" w:cs="Arial"/>
          <w:color w:val="000000"/>
        </w:rPr>
        <w:tab/>
      </w:r>
      <w:r w:rsidR="00287443" w:rsidRPr="001E0710">
        <w:rPr>
          <w:rStyle w:val="s3"/>
          <w:rFonts w:ascii="Arial" w:hAnsi="Arial" w:cs="Arial"/>
          <w:color w:val="000000"/>
        </w:rPr>
        <w:t>Many thanks also to my funders, the Scottish Graduate School for Arts and Humanities (SGSAH) and Arts and Humanities Research Council, who supported this research project with a Creative Economies Studentship.</w:t>
      </w:r>
    </w:p>
    <w:p w14:paraId="542C53C6" w14:textId="77777777" w:rsidR="00C06F5D" w:rsidRDefault="00287443" w:rsidP="00C06F5D">
      <w:pPr>
        <w:pStyle w:val="s12"/>
        <w:spacing w:before="0" w:beforeAutospacing="0" w:after="0" w:afterAutospacing="0" w:line="360" w:lineRule="auto"/>
        <w:ind w:firstLine="720"/>
        <w:jc w:val="both"/>
        <w:rPr>
          <w:rFonts w:ascii="Arial" w:hAnsi="Arial" w:cs="Arial"/>
        </w:rPr>
      </w:pPr>
      <w:r w:rsidRPr="001E0710">
        <w:rPr>
          <w:rFonts w:ascii="Arial" w:hAnsi="Arial" w:cs="Arial"/>
        </w:rPr>
        <w:t>I had the pleasure of working closely with a group of women</w:t>
      </w:r>
      <w:r w:rsidR="00150766" w:rsidRPr="001E0710">
        <w:rPr>
          <w:rFonts w:ascii="Arial" w:hAnsi="Arial" w:cs="Arial"/>
        </w:rPr>
        <w:t>, many in leadership positions,</w:t>
      </w:r>
      <w:r w:rsidRPr="001E0710">
        <w:rPr>
          <w:rFonts w:ascii="Arial" w:hAnsi="Arial" w:cs="Arial"/>
        </w:rPr>
        <w:t xml:space="preserve"> who had formed</w:t>
      </w:r>
      <w:r w:rsidR="00150766" w:rsidRPr="001E0710">
        <w:rPr>
          <w:rFonts w:ascii="Arial" w:hAnsi="Arial" w:cs="Arial"/>
        </w:rPr>
        <w:t xml:space="preserve"> a group called</w:t>
      </w:r>
      <w:r w:rsidRPr="001E0710">
        <w:rPr>
          <w:rFonts w:ascii="Arial" w:hAnsi="Arial" w:cs="Arial"/>
        </w:rPr>
        <w:t xml:space="preserve"> ROAR (Represent, Object, Advocate, Rewrite)</w:t>
      </w:r>
      <w:r w:rsidR="00150766" w:rsidRPr="001E0710">
        <w:rPr>
          <w:rFonts w:ascii="Arial" w:hAnsi="Arial" w:cs="Arial"/>
        </w:rPr>
        <w:t xml:space="preserve"> and pursued the funding for this project. This project and this report would not exist without you, and I am honoured to have had the chance to work with you.</w:t>
      </w:r>
    </w:p>
    <w:p w14:paraId="15719747" w14:textId="09758E0E" w:rsidR="00C06F5D" w:rsidRPr="00C06F5D" w:rsidRDefault="00C06F5D" w:rsidP="00C06F5D">
      <w:pPr>
        <w:pStyle w:val="s12"/>
        <w:spacing w:before="0" w:beforeAutospacing="0" w:after="0" w:afterAutospacing="0" w:line="360" w:lineRule="auto"/>
        <w:ind w:firstLine="720"/>
        <w:jc w:val="both"/>
        <w:rPr>
          <w:rFonts w:ascii="Arial" w:hAnsi="Arial" w:cs="Arial"/>
        </w:rPr>
      </w:pPr>
      <w:r w:rsidRPr="00C06F5D">
        <w:rPr>
          <w:rFonts w:ascii="Arial" w:hAnsi="Arial" w:cs="Arial"/>
        </w:rPr>
        <w:t>Thank you to Scottish Book Trust for in-kind support</w:t>
      </w:r>
      <w:r>
        <w:rPr>
          <w:rFonts w:ascii="Arial" w:hAnsi="Arial" w:cs="Arial"/>
        </w:rPr>
        <w:t xml:space="preserve"> during my PhD.</w:t>
      </w:r>
    </w:p>
    <w:p w14:paraId="0DEC07DB" w14:textId="682ECC56" w:rsidR="00704C08" w:rsidRPr="00596B85" w:rsidRDefault="00B17922" w:rsidP="00B17922">
      <w:pPr>
        <w:spacing w:line="360" w:lineRule="auto"/>
        <w:ind w:firstLine="720"/>
        <w:jc w:val="both"/>
      </w:pPr>
      <w:r>
        <w:t xml:space="preserve">Thank you to </w:t>
      </w:r>
      <w:r w:rsidR="00C06F5D">
        <w:t xml:space="preserve">Éadaoín Lynch and </w:t>
      </w:r>
      <w:r>
        <w:t>Harry Josephine Giles for editing support. Thank you</w:t>
      </w:r>
      <w:r w:rsidR="00150766" w:rsidRPr="00596B85">
        <w:t xml:space="preserve"> for feedback on versions of this report to Kevin Guyan, Alycia Pirmohamed, and Melanie Ramdarshan Bold.</w:t>
      </w:r>
    </w:p>
    <w:p w14:paraId="2FB9B75F" w14:textId="77777777" w:rsidR="001E678E" w:rsidRPr="001E0710" w:rsidRDefault="001E678E" w:rsidP="001E678E">
      <w:pPr>
        <w:pStyle w:val="Heading1"/>
        <w:rPr>
          <w:rFonts w:ascii="Arial" w:hAnsi="Arial" w:cs="Arial"/>
        </w:rPr>
      </w:pPr>
      <w:bookmarkStart w:id="59" w:name="_Toc195538168"/>
      <w:bookmarkStart w:id="60" w:name="_Toc180580146"/>
      <w:r w:rsidRPr="001E0710">
        <w:rPr>
          <w:rFonts w:ascii="Arial" w:hAnsi="Arial" w:cs="Arial"/>
        </w:rPr>
        <w:t>Notes &amp; References</w:t>
      </w:r>
      <w:bookmarkEnd w:id="59"/>
    </w:p>
    <w:bookmarkEnd w:id="60"/>
    <w:p w14:paraId="76086D7C" w14:textId="6265CA46" w:rsidR="003778DE" w:rsidRDefault="00000000" w:rsidP="00596B85">
      <w:pPr>
        <w:spacing w:line="360" w:lineRule="auto"/>
        <w:jc w:val="both"/>
        <w:rPr>
          <w:rFonts w:cs="Arial"/>
          <w:szCs w:val="24"/>
        </w:rPr>
      </w:pPr>
      <w:r w:rsidRPr="001E0710">
        <w:rPr>
          <w:rFonts w:cs="Arial"/>
          <w:szCs w:val="24"/>
        </w:rPr>
        <w:t>This work follows in the footsteps of other feminist researchers in publishing studies. I am indebted to the</w:t>
      </w:r>
      <w:r w:rsidR="00593396">
        <w:rPr>
          <w:rFonts w:cs="Arial"/>
          <w:szCs w:val="24"/>
        </w:rPr>
        <w:t xml:space="preserve"> VIDA Count and Stella Count, as well as the</w:t>
      </w:r>
      <w:r w:rsidRPr="001E0710">
        <w:rPr>
          <w:rFonts w:cs="Arial"/>
          <w:szCs w:val="24"/>
        </w:rPr>
        <w:t xml:space="preserve"> work listed below, which I recommend warmly for contextual reading and if you want to find out more about gender inequality in the literary sector:</w:t>
      </w:r>
    </w:p>
    <w:p w14:paraId="0F253A7A" w14:textId="2CF5115B" w:rsidR="003778DE" w:rsidRPr="003F41B1" w:rsidRDefault="003778DE" w:rsidP="003F41B1">
      <w:pPr>
        <w:spacing w:after="0" w:line="240" w:lineRule="auto"/>
        <w:ind w:hanging="480"/>
        <w:rPr>
          <w:rFonts w:cs="Arial"/>
        </w:rPr>
      </w:pPr>
      <w:r w:rsidRPr="003F41B1">
        <w:rPr>
          <w:rFonts w:cs="Arial"/>
        </w:rPr>
        <w:t xml:space="preserve">ANovelBookblog, ‘Gender (IN)Equality in Scottish Literary Prizes’, </w:t>
      </w:r>
      <w:r w:rsidRPr="003F41B1">
        <w:rPr>
          <w:rFonts w:cs="Arial"/>
          <w:i/>
          <w:iCs/>
        </w:rPr>
        <w:t>A Novel Bookblog</w:t>
      </w:r>
      <w:r w:rsidRPr="003F41B1">
        <w:rPr>
          <w:rFonts w:cs="Arial"/>
        </w:rPr>
        <w:t>, 2 June 2015 &lt;</w:t>
      </w:r>
      <w:hyperlink r:id="rId26" w:history="1">
        <w:r w:rsidRPr="003F41B1">
          <w:rPr>
            <w:rStyle w:val="Hyperlink"/>
            <w:rFonts w:cs="Arial"/>
          </w:rPr>
          <w:t>https://anovelbookblog.com/2015/06/02/gender-equality-in-scottish-literary-prizes/</w:t>
        </w:r>
      </w:hyperlink>
      <w:r w:rsidRPr="003F41B1">
        <w:rPr>
          <w:rFonts w:cs="Arial"/>
        </w:rPr>
        <w:t>&gt;</w:t>
      </w:r>
    </w:p>
    <w:p w14:paraId="06446813" w14:textId="4AF383DA" w:rsidR="00593396" w:rsidRPr="003F41B1" w:rsidRDefault="00593396" w:rsidP="00593396">
      <w:pPr>
        <w:spacing w:after="0" w:line="240" w:lineRule="auto"/>
        <w:ind w:hanging="480"/>
        <w:rPr>
          <w:rFonts w:eastAsia="Times New Roman" w:cs="Arial"/>
          <w:szCs w:val="24"/>
          <w:lang w:eastAsia="en-GB"/>
        </w:rPr>
      </w:pPr>
      <w:r w:rsidRPr="003F41B1">
        <w:rPr>
          <w:rFonts w:eastAsia="Times New Roman" w:cs="Arial"/>
          <w:szCs w:val="24"/>
          <w:lang w:eastAsia="en-GB"/>
        </w:rPr>
        <w:t xml:space="preserve">Clark, Janet, and others, </w:t>
      </w:r>
      <w:r w:rsidRPr="003F41B1">
        <w:rPr>
          <w:rFonts w:eastAsia="Times New Roman" w:cs="Arial"/>
          <w:i/>
          <w:iCs/>
          <w:szCs w:val="24"/>
          <w:lang w:eastAsia="en-GB"/>
        </w:rPr>
        <w:t>Zur Sichtbarkeit von Frauen in Medien Und Im Literaturbetrieb</w:t>
      </w:r>
      <w:r w:rsidRPr="003F41B1">
        <w:rPr>
          <w:rFonts w:eastAsia="Times New Roman" w:cs="Arial"/>
          <w:szCs w:val="24"/>
          <w:lang w:eastAsia="en-GB"/>
        </w:rPr>
        <w:t xml:space="preserve"> (Universität Rostock; FrauenZählen, 1 October 2018)</w:t>
      </w:r>
    </w:p>
    <w:p w14:paraId="5621048D" w14:textId="2EAF33E8" w:rsidR="00704C08" w:rsidRPr="003F41B1" w:rsidRDefault="003778DE" w:rsidP="00593396">
      <w:pPr>
        <w:spacing w:after="0" w:line="240" w:lineRule="auto"/>
        <w:ind w:hanging="480"/>
        <w:rPr>
          <w:rFonts w:eastAsia="Times New Roman" w:cs="Arial"/>
          <w:szCs w:val="24"/>
          <w:lang w:eastAsia="en-GB"/>
        </w:rPr>
      </w:pPr>
      <w:r w:rsidRPr="003F41B1">
        <w:rPr>
          <w:rFonts w:eastAsia="Times New Roman" w:cs="Arial"/>
          <w:szCs w:val="24"/>
          <w:lang w:eastAsia="en-GB"/>
        </w:rPr>
        <w:t xml:space="preserve">Cooter, Margaret, and Women in Publishing, </w:t>
      </w:r>
      <w:r w:rsidRPr="003F41B1">
        <w:rPr>
          <w:rFonts w:eastAsia="Times New Roman" w:cs="Arial"/>
          <w:i/>
          <w:iCs/>
          <w:szCs w:val="24"/>
          <w:lang w:eastAsia="en-GB"/>
        </w:rPr>
        <w:t>Reviewing the Reviews: A Woman’s Place on the Book Page</w:t>
      </w:r>
      <w:r w:rsidRPr="003F41B1">
        <w:rPr>
          <w:rFonts w:eastAsia="Times New Roman" w:cs="Arial"/>
          <w:szCs w:val="24"/>
          <w:lang w:eastAsia="en-GB"/>
        </w:rPr>
        <w:t xml:space="preserve"> (Journeyman, 1987</w:t>
      </w:r>
      <w:r w:rsidR="00593396" w:rsidRPr="003F41B1">
        <w:rPr>
          <w:rFonts w:eastAsia="Times New Roman" w:cs="Arial"/>
          <w:szCs w:val="24"/>
          <w:lang w:eastAsia="en-GB"/>
        </w:rPr>
        <w:t>)</w:t>
      </w:r>
    </w:p>
    <w:p w14:paraId="5BD384F3" w14:textId="390CFA99" w:rsidR="003778DE" w:rsidRPr="003F41B1" w:rsidRDefault="003778DE" w:rsidP="00593396">
      <w:pPr>
        <w:spacing w:after="0" w:line="240" w:lineRule="auto"/>
        <w:ind w:hanging="480"/>
        <w:rPr>
          <w:rFonts w:cs="Arial"/>
        </w:rPr>
      </w:pPr>
      <w:r w:rsidRPr="003F41B1">
        <w:rPr>
          <w:rFonts w:cs="Arial"/>
        </w:rPr>
        <w:t xml:space="preserve">Dane, Alexandra, </w:t>
      </w:r>
      <w:r w:rsidRPr="003F41B1">
        <w:rPr>
          <w:rFonts w:cs="Arial"/>
          <w:i/>
          <w:iCs/>
        </w:rPr>
        <w:t>Gender and Prestige in Literature: Contemporary Australian Book Culture</w:t>
      </w:r>
      <w:r w:rsidRPr="003F41B1">
        <w:rPr>
          <w:rFonts w:cs="Arial"/>
        </w:rPr>
        <w:t>, New Directions in Book History, 1st ed. 2020 (Springer International Publishing : Imprint: Palgrave Macmillan, 2020) &lt;</w:t>
      </w:r>
      <w:hyperlink r:id="rId27" w:history="1">
        <w:r w:rsidRPr="003F41B1">
          <w:rPr>
            <w:rStyle w:val="Hyperlink"/>
            <w:rFonts w:cs="Arial"/>
          </w:rPr>
          <w:t>https://doi.org/ 10.1007/978-3-030-49142-0</w:t>
        </w:r>
      </w:hyperlink>
      <w:r w:rsidRPr="003F41B1">
        <w:rPr>
          <w:rFonts w:cs="Arial"/>
        </w:rPr>
        <w:t>&gt;</w:t>
      </w:r>
    </w:p>
    <w:p w14:paraId="6F97FFB7" w14:textId="77777777" w:rsidR="003778DE" w:rsidRDefault="003778DE" w:rsidP="003778DE">
      <w:pPr>
        <w:ind w:hanging="480"/>
      </w:pPr>
      <w:r w:rsidRPr="003F41B1">
        <w:rPr>
          <w:rFonts w:cs="Arial"/>
        </w:rPr>
        <w:t xml:space="preserve">——, ‘Political Resistance, By Way of Literary Prizes’, </w:t>
      </w:r>
      <w:r w:rsidRPr="003F41B1">
        <w:rPr>
          <w:rFonts w:cs="Arial"/>
          <w:i/>
          <w:iCs/>
        </w:rPr>
        <w:t>The Lifted Brow</w:t>
      </w:r>
      <w:r w:rsidRPr="003F41B1">
        <w:rPr>
          <w:rFonts w:cs="Arial"/>
        </w:rPr>
        <w:t>, 8 February 2019</w:t>
      </w:r>
      <w:r>
        <w:t xml:space="preserve"> &lt;</w:t>
      </w:r>
      <w:hyperlink r:id="rId28" w:history="1">
        <w:r>
          <w:rPr>
            <w:rStyle w:val="Hyperlink"/>
          </w:rPr>
          <w:t>https://www.theliftedbrow.com/liftedbrow/2019/2/8/political-resistance-behrouz-boochani-no-friend-but-the-mountains-literary-prizes-by-alexandra-dane</w:t>
        </w:r>
      </w:hyperlink>
      <w:r>
        <w:t>&gt;</w:t>
      </w:r>
    </w:p>
    <w:p w14:paraId="360A157E" w14:textId="685645E3" w:rsidR="003778DE" w:rsidRPr="003F41B1" w:rsidRDefault="003778DE" w:rsidP="003778DE">
      <w:pPr>
        <w:spacing w:line="240" w:lineRule="auto"/>
        <w:ind w:hanging="480"/>
        <w:rPr>
          <w:rFonts w:eastAsia="Times New Roman" w:cs="Arial"/>
          <w:szCs w:val="24"/>
          <w:lang w:eastAsia="en-GB"/>
        </w:rPr>
      </w:pPr>
      <w:r w:rsidRPr="003F41B1">
        <w:rPr>
          <w:rFonts w:eastAsia="Times New Roman" w:cs="Arial"/>
          <w:szCs w:val="24"/>
          <w:lang w:eastAsia="en-GB"/>
        </w:rPr>
        <w:lastRenderedPageBreak/>
        <w:t xml:space="preserve">Harvey, Melinda, and Julieanne Lamond, ‘Literary Prizes and Book Reviews in Australia since 2014’, in </w:t>
      </w:r>
      <w:r w:rsidRPr="003F41B1">
        <w:rPr>
          <w:rFonts w:eastAsia="Times New Roman" w:cs="Arial"/>
          <w:i/>
          <w:iCs/>
          <w:szCs w:val="24"/>
          <w:lang w:eastAsia="en-GB"/>
        </w:rPr>
        <w:t>Book Publishing in Australia. A Living Legacy</w:t>
      </w:r>
      <w:r w:rsidRPr="003F41B1">
        <w:rPr>
          <w:rFonts w:eastAsia="Times New Roman" w:cs="Arial"/>
          <w:szCs w:val="24"/>
          <w:lang w:eastAsia="en-GB"/>
        </w:rPr>
        <w:t>, ed. by Millicent Weber and Aaron Mannion, Publishing Series (Monash University Press, 2019), pp. 231–64</w:t>
      </w:r>
    </w:p>
    <w:p w14:paraId="6C199EA9" w14:textId="2FBB3006" w:rsidR="003778DE" w:rsidRPr="003F41B1" w:rsidRDefault="003778DE" w:rsidP="00593396">
      <w:pPr>
        <w:spacing w:after="0" w:line="240" w:lineRule="auto"/>
        <w:ind w:hanging="480"/>
        <w:rPr>
          <w:rFonts w:eastAsia="Times New Roman" w:cs="Arial"/>
          <w:szCs w:val="24"/>
          <w:lang w:eastAsia="en-GB"/>
        </w:rPr>
      </w:pPr>
      <w:r w:rsidRPr="003F41B1">
        <w:rPr>
          <w:rFonts w:eastAsia="Times New Roman" w:cs="Arial"/>
          <w:szCs w:val="24"/>
          <w:lang w:eastAsia="en-GB"/>
        </w:rPr>
        <w:t xml:space="preserve">——, ‘Taking the Measure of Gender Disparity in Australian Book Reviewing as a Field, 1985 and 2013’, </w:t>
      </w:r>
      <w:r w:rsidRPr="003F41B1">
        <w:rPr>
          <w:rFonts w:eastAsia="Times New Roman" w:cs="Arial"/>
          <w:i/>
          <w:iCs/>
          <w:szCs w:val="24"/>
          <w:lang w:eastAsia="en-GB"/>
        </w:rPr>
        <w:t>Australian Humanities Review</w:t>
      </w:r>
      <w:r w:rsidRPr="003F41B1">
        <w:rPr>
          <w:rFonts w:eastAsia="Times New Roman" w:cs="Arial"/>
          <w:szCs w:val="24"/>
          <w:lang w:eastAsia="en-GB"/>
        </w:rPr>
        <w:t>, 60 (2016), pp. 84–107</w:t>
      </w:r>
    </w:p>
    <w:p w14:paraId="3DEC63D7" w14:textId="6A3E1E34" w:rsidR="003778DE" w:rsidRPr="003F41B1" w:rsidRDefault="003778DE" w:rsidP="003778DE">
      <w:pPr>
        <w:spacing w:after="0" w:line="240" w:lineRule="auto"/>
        <w:ind w:hanging="480"/>
        <w:rPr>
          <w:rFonts w:cs="Arial"/>
        </w:rPr>
      </w:pPr>
      <w:r w:rsidRPr="003F41B1">
        <w:rPr>
          <w:rFonts w:cs="Arial"/>
        </w:rPr>
        <w:t>Griffith, Nicola, ‘Books about Women Don’t Win Big Awards: Some Data’, 26 May 2015 &lt;</w:t>
      </w:r>
      <w:hyperlink r:id="rId29" w:history="1">
        <w:r w:rsidRPr="003F41B1">
          <w:rPr>
            <w:rStyle w:val="Hyperlink"/>
            <w:rFonts w:cs="Arial"/>
          </w:rPr>
          <w:t>https://nicolagriffith.com/2015/05/26/books-about-women-tend-not-to-win-awards/</w:t>
        </w:r>
      </w:hyperlink>
      <w:r w:rsidRPr="003F41B1">
        <w:rPr>
          <w:rFonts w:cs="Arial"/>
        </w:rPr>
        <w:t>&gt;</w:t>
      </w:r>
    </w:p>
    <w:p w14:paraId="30BF1648" w14:textId="77777777" w:rsidR="003778DE" w:rsidRPr="003F41B1" w:rsidRDefault="003778DE" w:rsidP="003778DE">
      <w:pPr>
        <w:ind w:hanging="480"/>
        <w:rPr>
          <w:rFonts w:cs="Arial"/>
        </w:rPr>
      </w:pPr>
      <w:r w:rsidRPr="003F41B1">
        <w:rPr>
          <w:rFonts w:cs="Arial"/>
        </w:rPr>
        <w:t xml:space="preserve">——, ‘More Data on Gender and Literary Prizes’, </w:t>
      </w:r>
      <w:r w:rsidRPr="003F41B1">
        <w:rPr>
          <w:rFonts w:cs="Arial"/>
          <w:i/>
          <w:iCs/>
        </w:rPr>
        <w:t>Nicola Griffith</w:t>
      </w:r>
      <w:r w:rsidRPr="003F41B1">
        <w:rPr>
          <w:rFonts w:cs="Arial"/>
        </w:rPr>
        <w:t>, 6 August 2015 &lt;</w:t>
      </w:r>
      <w:hyperlink r:id="rId30" w:history="1">
        <w:r w:rsidRPr="003F41B1">
          <w:rPr>
            <w:rStyle w:val="Hyperlink"/>
            <w:rFonts w:cs="Arial"/>
          </w:rPr>
          <w:t>https://nicolagriffith.com/2015/08/06/counting-and-gender/</w:t>
        </w:r>
      </w:hyperlink>
      <w:r w:rsidRPr="003F41B1">
        <w:rPr>
          <w:rFonts w:cs="Arial"/>
        </w:rPr>
        <w:t>&gt;</w:t>
      </w:r>
    </w:p>
    <w:p w14:paraId="17281650" w14:textId="4B7EFC50" w:rsidR="00593396" w:rsidRPr="003F41B1" w:rsidRDefault="00593396" w:rsidP="00593396">
      <w:pPr>
        <w:spacing w:after="0" w:line="240" w:lineRule="auto"/>
        <w:ind w:hanging="480"/>
        <w:rPr>
          <w:rFonts w:cs="Arial"/>
        </w:rPr>
      </w:pPr>
      <w:r w:rsidRPr="003F41B1">
        <w:rPr>
          <w:rFonts w:cs="Arial"/>
        </w:rPr>
        <w:t xml:space="preserve">Kon-yu, Natalie, ‘Diversity, the Stella Count and the Whiteness of Australian Publishing’, </w:t>
      </w:r>
      <w:r w:rsidRPr="003F41B1">
        <w:rPr>
          <w:rFonts w:cs="Arial"/>
          <w:i/>
          <w:iCs/>
        </w:rPr>
        <w:t>The Conversation</w:t>
      </w:r>
      <w:r w:rsidRPr="003F41B1">
        <w:rPr>
          <w:rFonts w:cs="Arial"/>
        </w:rPr>
        <w:t>, 12 December 2016 &lt;</w:t>
      </w:r>
      <w:hyperlink r:id="rId31" w:history="1">
        <w:r w:rsidRPr="003F41B1">
          <w:rPr>
            <w:rStyle w:val="Hyperlink"/>
            <w:rFonts w:cs="Arial"/>
          </w:rPr>
          <w:t>http://theconversation.com/diversity-the-stella-count-and-the-whiteness-of-australian-publishing-69976</w:t>
        </w:r>
      </w:hyperlink>
      <w:r w:rsidRPr="003F41B1">
        <w:rPr>
          <w:rFonts w:cs="Arial"/>
        </w:rPr>
        <w:t>&gt;</w:t>
      </w:r>
    </w:p>
    <w:p w14:paraId="033E0B9B" w14:textId="4D035532" w:rsidR="00593396" w:rsidRPr="003F41B1" w:rsidRDefault="00593396" w:rsidP="00593396">
      <w:pPr>
        <w:spacing w:after="0" w:line="240" w:lineRule="auto"/>
        <w:ind w:hanging="480"/>
        <w:rPr>
          <w:rFonts w:cs="Arial"/>
        </w:rPr>
      </w:pPr>
      <w:r w:rsidRPr="003F41B1">
        <w:rPr>
          <w:rFonts w:cs="Arial"/>
        </w:rPr>
        <w:t xml:space="preserve">Lamond, Julieanne, ‘Stella vs Miles: Women Writers and Literary Value in Australia’, </w:t>
      </w:r>
      <w:r w:rsidRPr="003F41B1">
        <w:rPr>
          <w:rFonts w:cs="Arial"/>
          <w:i/>
          <w:iCs/>
        </w:rPr>
        <w:t>Meanjin</w:t>
      </w:r>
      <w:r w:rsidRPr="003F41B1">
        <w:rPr>
          <w:rFonts w:cs="Arial"/>
        </w:rPr>
        <w:t>, 70.3 (2011) &lt;</w:t>
      </w:r>
      <w:hyperlink r:id="rId32" w:history="1">
        <w:r w:rsidRPr="003F41B1">
          <w:rPr>
            <w:rStyle w:val="Hyperlink"/>
            <w:rFonts w:cs="Arial"/>
          </w:rPr>
          <w:t>https://meanjin.com.au/essays/stella-vs-miles-women-writers-and-literary-value-in-australia/</w:t>
        </w:r>
      </w:hyperlink>
      <w:r w:rsidRPr="003F41B1">
        <w:rPr>
          <w:rFonts w:cs="Arial"/>
        </w:rPr>
        <w:t>&gt;</w:t>
      </w:r>
    </w:p>
    <w:p w14:paraId="1B8C8C50" w14:textId="5C60A8F1" w:rsidR="00593396" w:rsidRPr="003F41B1" w:rsidRDefault="00593396" w:rsidP="00593396">
      <w:pPr>
        <w:spacing w:after="0" w:line="240" w:lineRule="auto"/>
        <w:ind w:hanging="480"/>
        <w:rPr>
          <w:rFonts w:cs="Arial"/>
        </w:rPr>
      </w:pPr>
      <w:r w:rsidRPr="003F41B1">
        <w:rPr>
          <w:rFonts w:cs="Arial"/>
        </w:rPr>
        <w:t xml:space="preserve">Marsden, Stevie, </w:t>
      </w:r>
      <w:r w:rsidRPr="003F41B1">
        <w:rPr>
          <w:rFonts w:cs="Arial"/>
          <w:i/>
          <w:iCs/>
        </w:rPr>
        <w:t>Prizing Scottish Literature: A Cultural History of the Saltire Society Literary Awards</w:t>
      </w:r>
      <w:r w:rsidRPr="003F41B1">
        <w:rPr>
          <w:rFonts w:cs="Arial"/>
        </w:rPr>
        <w:t>, Anthem Studies in Book History, Publishing and Print Culture, 1st. (Anthem Press, 2021) &lt;</w:t>
      </w:r>
      <w:hyperlink r:id="rId33" w:history="1">
        <w:r w:rsidRPr="003F41B1">
          <w:rPr>
            <w:rStyle w:val="Hyperlink"/>
            <w:rFonts w:cs="Arial"/>
          </w:rPr>
          <w:t>https://nls.ldls.org.uk/welcome.html?ark:/81055/vdc_100117617076.0x000001</w:t>
        </w:r>
      </w:hyperlink>
      <w:r w:rsidRPr="003F41B1">
        <w:rPr>
          <w:rFonts w:cs="Arial"/>
        </w:rPr>
        <w:t>&gt;</w:t>
      </w:r>
    </w:p>
    <w:p w14:paraId="7AF5F3CE" w14:textId="24E24748" w:rsidR="00593396" w:rsidRPr="003F41B1" w:rsidRDefault="00593396" w:rsidP="00593396">
      <w:pPr>
        <w:ind w:hanging="480"/>
        <w:rPr>
          <w:rFonts w:cs="Arial"/>
        </w:rPr>
      </w:pPr>
      <w:r w:rsidRPr="003F41B1">
        <w:rPr>
          <w:rFonts w:cs="Arial"/>
        </w:rPr>
        <w:t xml:space="preserve">——, ‘Why Women Don’t Win Literary Awards: The Saltire Society Literary Awards and Implicit Stereotyping’, </w:t>
      </w:r>
      <w:r w:rsidRPr="003F41B1">
        <w:rPr>
          <w:rFonts w:cs="Arial"/>
          <w:i/>
          <w:iCs/>
        </w:rPr>
        <w:t>Women: A Cultural Review</w:t>
      </w:r>
      <w:r w:rsidRPr="003F41B1">
        <w:rPr>
          <w:rFonts w:cs="Arial"/>
        </w:rPr>
        <w:t>, 30.1 (2019), pp. 43–65, doi:</w:t>
      </w:r>
      <w:hyperlink r:id="rId34" w:history="1">
        <w:r w:rsidRPr="003F41B1">
          <w:rPr>
            <w:rStyle w:val="Hyperlink"/>
            <w:rFonts w:cs="Arial"/>
          </w:rPr>
          <w:t>10.1080/09574042.2018.1561047</w:t>
        </w:r>
      </w:hyperlink>
    </w:p>
    <w:p w14:paraId="30E74328" w14:textId="77777777" w:rsidR="00593396" w:rsidRPr="003F41B1" w:rsidRDefault="00593396" w:rsidP="00593396">
      <w:pPr>
        <w:spacing w:after="0" w:line="240" w:lineRule="auto"/>
        <w:ind w:hanging="480"/>
        <w:rPr>
          <w:rFonts w:cs="Arial"/>
        </w:rPr>
      </w:pPr>
      <w:r w:rsidRPr="003F41B1">
        <w:rPr>
          <w:rFonts w:cs="Arial"/>
        </w:rPr>
        <w:t xml:space="preserve">Marsden, Stevie, and Claire Squires, ‘The First Rule of Judging Club…: Inside the Saltire Society Literary Awards’, </w:t>
      </w:r>
      <w:r w:rsidRPr="003F41B1">
        <w:rPr>
          <w:rFonts w:cs="Arial"/>
          <w:i/>
          <w:iCs/>
        </w:rPr>
        <w:t>Journal of Cultural Analysis and Social Change</w:t>
      </w:r>
      <w:r w:rsidRPr="003F41B1">
        <w:rPr>
          <w:rFonts w:cs="Arial"/>
        </w:rPr>
        <w:t>, 4.2 (2019), p. 10, doi:</w:t>
      </w:r>
      <w:hyperlink r:id="rId35" w:history="1">
        <w:r w:rsidRPr="003F41B1">
          <w:rPr>
            <w:rStyle w:val="Hyperlink"/>
            <w:rFonts w:cs="Arial"/>
          </w:rPr>
          <w:t>10.20897/jcasc/6354</w:t>
        </w:r>
      </w:hyperlink>
    </w:p>
    <w:p w14:paraId="1DDF4C6E" w14:textId="13A8CFBE" w:rsidR="00776448" w:rsidRPr="003F41B1" w:rsidRDefault="00776448" w:rsidP="00776448">
      <w:pPr>
        <w:spacing w:after="0" w:line="240" w:lineRule="auto"/>
        <w:ind w:hanging="480"/>
        <w:rPr>
          <w:rFonts w:cs="Arial"/>
        </w:rPr>
      </w:pPr>
      <w:r w:rsidRPr="003F41B1">
        <w:rPr>
          <w:rFonts w:cs="Arial"/>
        </w:rPr>
        <w:t xml:space="preserve">Parnell, Claire, Alexandra Dane, and Millicent Weber, ‘Author Care and the Invisibility of Affective Labour: Publicists’ Role in Book Publishing’, </w:t>
      </w:r>
      <w:r w:rsidRPr="003F41B1">
        <w:rPr>
          <w:rFonts w:cs="Arial"/>
          <w:i/>
          <w:iCs/>
        </w:rPr>
        <w:t>Publishing Research Quarterly</w:t>
      </w:r>
      <w:r w:rsidRPr="003F41B1">
        <w:rPr>
          <w:rFonts w:cs="Arial"/>
        </w:rPr>
        <w:t>, 36.4 (2020), pp. 648–59, doi:</w:t>
      </w:r>
      <w:hyperlink r:id="rId36" w:history="1">
        <w:r w:rsidRPr="003F41B1">
          <w:rPr>
            <w:rStyle w:val="Hyperlink"/>
            <w:rFonts w:cs="Arial"/>
          </w:rPr>
          <w:t>10.1007/s12109-020-09763-9</w:t>
        </w:r>
      </w:hyperlink>
    </w:p>
    <w:p w14:paraId="3C193C80" w14:textId="6955DBD4" w:rsidR="00593396" w:rsidRPr="003F41B1" w:rsidRDefault="00593396" w:rsidP="00593396">
      <w:pPr>
        <w:spacing w:after="0" w:line="240" w:lineRule="auto"/>
        <w:ind w:hanging="480"/>
        <w:rPr>
          <w:rFonts w:cs="Arial"/>
        </w:rPr>
      </w:pPr>
      <w:r w:rsidRPr="003F41B1">
        <w:rPr>
          <w:rFonts w:cs="Arial"/>
        </w:rPr>
        <w:t xml:space="preserve">Schuchter, Veronika, </w:t>
      </w:r>
      <w:r w:rsidRPr="003F41B1">
        <w:rPr>
          <w:rFonts w:cs="Arial"/>
          <w:i/>
          <w:iCs/>
        </w:rPr>
        <w:t>Sondernummer: Geschlechterverhältnisse in Der Literaturkritik</w:t>
      </w:r>
      <w:r w:rsidRPr="003F41B1">
        <w:rPr>
          <w:rFonts w:cs="Arial"/>
        </w:rPr>
        <w:t>, Literaturkritik in Zahlen (Innsbrucker Zeitungsarchiv zur deutsch- und fremdsprachigen Literatur (IZA) am Institut für Germanistik der Universität Innsbruck, November 2018) &lt;</w:t>
      </w:r>
      <w:hyperlink r:id="rId37" w:history="1">
        <w:r w:rsidRPr="003F41B1">
          <w:rPr>
            <w:rStyle w:val="Hyperlink"/>
            <w:rFonts w:cs="Arial"/>
          </w:rPr>
          <w:t>https://www.uibk.ac.at/iza/literaturkritik-in-zahlen/pdf/2018_sondernummer_geschlechter.pdf</w:t>
        </w:r>
      </w:hyperlink>
      <w:r w:rsidRPr="003F41B1">
        <w:rPr>
          <w:rFonts w:cs="Arial"/>
        </w:rPr>
        <w:t>&gt;</w:t>
      </w:r>
    </w:p>
    <w:p w14:paraId="65B7FB9C" w14:textId="71F28B84" w:rsidR="00593396" w:rsidRPr="003F41B1" w:rsidRDefault="00593396" w:rsidP="00593396">
      <w:pPr>
        <w:spacing w:after="0" w:line="240" w:lineRule="auto"/>
        <w:ind w:hanging="480"/>
        <w:rPr>
          <w:rFonts w:cs="Arial"/>
        </w:rPr>
      </w:pPr>
      <w:r w:rsidRPr="003F41B1">
        <w:rPr>
          <w:rFonts w:cs="Arial"/>
        </w:rPr>
        <w:t xml:space="preserve">Squires, Claire, and Beth Driscoll, ‘The Sleaze-O-Meter: Sexual Harassment in the Publishing Industry’, </w:t>
      </w:r>
      <w:r w:rsidRPr="003F41B1">
        <w:rPr>
          <w:rFonts w:cs="Arial"/>
          <w:i/>
          <w:iCs/>
        </w:rPr>
        <w:t>Interscript</w:t>
      </w:r>
      <w:r w:rsidRPr="003F41B1">
        <w:rPr>
          <w:rFonts w:cs="Arial"/>
        </w:rPr>
        <w:t>, 3 August 2018 &lt;</w:t>
      </w:r>
      <w:hyperlink r:id="rId38" w:history="1">
        <w:r w:rsidRPr="003F41B1">
          <w:rPr>
            <w:rStyle w:val="Hyperlink"/>
            <w:rFonts w:cs="Arial"/>
          </w:rPr>
          <w:t>https://www.interscriptjournal.com/online-magazine/sleaze-o-meter</w:t>
        </w:r>
      </w:hyperlink>
      <w:r w:rsidRPr="003F41B1">
        <w:rPr>
          <w:rFonts w:cs="Arial"/>
        </w:rPr>
        <w:t>&gt;</w:t>
      </w:r>
    </w:p>
    <w:p w14:paraId="1E974174" w14:textId="77777777" w:rsidR="00593396" w:rsidRPr="003F41B1" w:rsidRDefault="00593396" w:rsidP="00593396">
      <w:pPr>
        <w:spacing w:after="0" w:line="240" w:lineRule="auto"/>
        <w:ind w:hanging="480"/>
        <w:rPr>
          <w:rFonts w:cs="Arial"/>
        </w:rPr>
      </w:pPr>
    </w:p>
    <w:p w14:paraId="7490A221" w14:textId="5CD9CAFE" w:rsidR="00097D6F" w:rsidRDefault="00000000">
      <w:pPr>
        <w:rPr>
          <w:rFonts w:cs="Arial"/>
          <w:u w:val="single"/>
        </w:rPr>
      </w:pPr>
      <w:r w:rsidRPr="001E0710">
        <w:rPr>
          <w:rFonts w:cs="Arial"/>
          <w:u w:val="single"/>
        </w:rPr>
        <w:t>Works cited:</w:t>
      </w:r>
      <w:bookmarkStart w:id="61" w:name="OLE_LINK1"/>
      <w:bookmarkStart w:id="62" w:name="OLE_LINK2"/>
      <w:bookmarkEnd w:id="61"/>
      <w:bookmarkEnd w:id="62"/>
    </w:p>
    <w:p w14:paraId="42B6990E" w14:textId="77777777" w:rsidR="008F5D33" w:rsidRPr="008F5D33" w:rsidRDefault="008F5D33" w:rsidP="008F5D33">
      <w:pPr>
        <w:pStyle w:val="Bibliography"/>
        <w:rPr>
          <w:rFonts w:cs="Arial"/>
        </w:rPr>
      </w:pPr>
      <w:r>
        <w:rPr>
          <w:rFonts w:cs="Arial"/>
        </w:rPr>
        <w:fldChar w:fldCharType="begin"/>
      </w:r>
      <w:r>
        <w:rPr>
          <w:rFonts w:cs="Arial"/>
        </w:rPr>
        <w:instrText xml:space="preserve"> ADDIN ZOTERO_BIBL {"uncited":[],"omitted":[],"custom":[]} CSL_BIBLIOGRAPHY </w:instrText>
      </w:r>
      <w:r>
        <w:rPr>
          <w:rFonts w:cs="Arial"/>
        </w:rPr>
        <w:fldChar w:fldCharType="separate"/>
      </w:r>
      <w:r w:rsidRPr="008F5D33">
        <w:rPr>
          <w:rFonts w:cs="Arial"/>
        </w:rPr>
        <w:t xml:space="preserve">Agarwal, Pragya. </w:t>
      </w:r>
      <w:r w:rsidRPr="008F5D33">
        <w:rPr>
          <w:rFonts w:cs="Arial"/>
          <w:i/>
          <w:iCs/>
        </w:rPr>
        <w:t>Sway: Unravelling Unconscious Bias</w:t>
      </w:r>
      <w:r w:rsidRPr="008F5D33">
        <w:rPr>
          <w:rFonts w:cs="Arial"/>
        </w:rPr>
        <w:t>. London: Bloomsbury Sigma, 2020.</w:t>
      </w:r>
    </w:p>
    <w:p w14:paraId="721A7D22" w14:textId="77777777" w:rsidR="008F5D33" w:rsidRPr="008F5D33" w:rsidRDefault="008F5D33" w:rsidP="008F5D33">
      <w:pPr>
        <w:pStyle w:val="Bibliography"/>
        <w:rPr>
          <w:rFonts w:cs="Arial"/>
        </w:rPr>
      </w:pPr>
      <w:r w:rsidRPr="008F5D33">
        <w:rPr>
          <w:rFonts w:cs="Arial"/>
        </w:rPr>
        <w:t xml:space="preserve">Ahmed, Sara. ‘The Nonperformativity of Antiracism’. </w:t>
      </w:r>
      <w:r w:rsidRPr="008F5D33">
        <w:rPr>
          <w:rFonts w:cs="Arial"/>
          <w:i/>
          <w:iCs/>
        </w:rPr>
        <w:t>Meridians</w:t>
      </w:r>
      <w:r w:rsidRPr="008F5D33">
        <w:rPr>
          <w:rFonts w:cs="Arial"/>
        </w:rPr>
        <w:t>, Duke University Press, 7, no. 1 (2006): 104–26.</w:t>
      </w:r>
    </w:p>
    <w:p w14:paraId="7D3F7364" w14:textId="77777777" w:rsidR="008F5D33" w:rsidRPr="008F5D33" w:rsidRDefault="008F5D33" w:rsidP="008F5D33">
      <w:pPr>
        <w:pStyle w:val="Bibliography"/>
        <w:rPr>
          <w:rFonts w:cs="Arial"/>
        </w:rPr>
      </w:pPr>
      <w:r w:rsidRPr="008F5D33">
        <w:rPr>
          <w:rFonts w:cs="Arial"/>
        </w:rPr>
        <w:t xml:space="preserve">Alacovska, Ana. ‘The Gendering Power of Genres: How Female Scandinavian Crime Fiction Writers Experience Professional Authorship’. </w:t>
      </w:r>
      <w:r w:rsidRPr="008F5D33">
        <w:rPr>
          <w:rFonts w:cs="Arial"/>
          <w:i/>
          <w:iCs/>
        </w:rPr>
        <w:t>Organization</w:t>
      </w:r>
      <w:r w:rsidRPr="008F5D33">
        <w:rPr>
          <w:rFonts w:cs="Arial"/>
        </w:rPr>
        <w:t xml:space="preserve"> 24, no. 3 (2017): 377–96. https://doi.org/107.171/1773/51035058048146166887766.</w:t>
      </w:r>
    </w:p>
    <w:p w14:paraId="063AAEDB" w14:textId="77777777" w:rsidR="008F5D33" w:rsidRPr="008F5D33" w:rsidRDefault="008F5D33" w:rsidP="008F5D33">
      <w:pPr>
        <w:pStyle w:val="Bibliography"/>
        <w:rPr>
          <w:rFonts w:cs="Arial"/>
        </w:rPr>
      </w:pPr>
      <w:r w:rsidRPr="008F5D33">
        <w:rPr>
          <w:rFonts w:cs="Arial"/>
        </w:rPr>
        <w:t xml:space="preserve">Bectu. ‘Bectu Calls on Creative Industries to Get behind Independent Standards Authority as 9 in 10 Creative Workers Say They Have Been Sexually </w:t>
      </w:r>
      <w:r w:rsidRPr="008F5D33">
        <w:rPr>
          <w:rFonts w:cs="Arial"/>
        </w:rPr>
        <w:lastRenderedPageBreak/>
        <w:t>Harassed at Work’, 30 May 2024. https://bectu.org.uk/news/bectu-calls-on-creative-industries-to-get-behind-independent-standards-authority-as-9-in-10-creative-workers-say-they-have-been-sexually-harassed-at-work.</w:t>
      </w:r>
    </w:p>
    <w:p w14:paraId="1452ADDA" w14:textId="77777777" w:rsidR="008F5D33" w:rsidRPr="008F5D33" w:rsidRDefault="008F5D33" w:rsidP="008F5D33">
      <w:pPr>
        <w:pStyle w:val="Bibliography"/>
        <w:rPr>
          <w:rFonts w:cs="Arial"/>
        </w:rPr>
      </w:pPr>
      <w:r w:rsidRPr="008F5D33">
        <w:rPr>
          <w:rFonts w:cs="Arial"/>
        </w:rPr>
        <w:t>Bookcareers. ‘Bookcareers Salary Survey 2021 - RESULTS’. Accessed 9 April 2024. https://www.bookcareers.com/bookcareers-salary-survey-2021-results/.</w:t>
      </w:r>
    </w:p>
    <w:p w14:paraId="42E430B4" w14:textId="77777777" w:rsidR="008F5D33" w:rsidRPr="008F5D33" w:rsidRDefault="008F5D33" w:rsidP="008F5D33">
      <w:pPr>
        <w:pStyle w:val="Bibliography"/>
        <w:rPr>
          <w:rFonts w:cs="Arial"/>
        </w:rPr>
      </w:pPr>
      <w:r w:rsidRPr="008F5D33">
        <w:rPr>
          <w:rFonts w:cs="Arial"/>
        </w:rPr>
        <w:t>Bookcareers. ‘Bookcareers.Com Salary Survey Results 2017’. Accessed 26 June 2018. https://www.bookcareers.com/salary-survey-2/bookcareers-com-salary-survey-results-2017/.</w:t>
      </w:r>
    </w:p>
    <w:p w14:paraId="472D3F2F" w14:textId="77777777" w:rsidR="008F5D33" w:rsidRPr="008F5D33" w:rsidRDefault="008F5D33" w:rsidP="008F5D33">
      <w:pPr>
        <w:pStyle w:val="Bibliography"/>
        <w:rPr>
          <w:rFonts w:cs="Arial"/>
        </w:rPr>
      </w:pPr>
      <w:r w:rsidRPr="008F5D33">
        <w:rPr>
          <w:rFonts w:cs="Arial"/>
          <w:i/>
          <w:iCs/>
        </w:rPr>
        <w:t>Books + Publishing</w:t>
      </w:r>
      <w:r w:rsidRPr="008F5D33">
        <w:rPr>
          <w:rFonts w:cs="Arial"/>
        </w:rPr>
        <w:t>. ‘Over Half of Book-Industry Survey Respondents Report Sexual Harassment’. 12 December 2017. https://www.booksandpublishing.com.au/articles/2017/12/12/99463/over-half-of-book-industry-survey-respondents-report-sexual-harassment/.</w:t>
      </w:r>
    </w:p>
    <w:p w14:paraId="2DDDC717" w14:textId="77777777" w:rsidR="008F5D33" w:rsidRPr="008F5D33" w:rsidRDefault="008F5D33" w:rsidP="008F5D33">
      <w:pPr>
        <w:pStyle w:val="Bibliography"/>
        <w:rPr>
          <w:rFonts w:cs="Arial"/>
        </w:rPr>
      </w:pPr>
      <w:r w:rsidRPr="008F5D33">
        <w:rPr>
          <w:rFonts w:cs="Arial"/>
        </w:rPr>
        <w:t xml:space="preserve">Bookseller news team. ‘Sexual Harassment Reported by over Half in Trade Survey’. </w:t>
      </w:r>
      <w:r w:rsidRPr="008F5D33">
        <w:rPr>
          <w:rFonts w:cs="Arial"/>
          <w:i/>
          <w:iCs/>
        </w:rPr>
        <w:t>The Bookseller</w:t>
      </w:r>
      <w:r w:rsidRPr="008F5D33">
        <w:rPr>
          <w:rFonts w:cs="Arial"/>
        </w:rPr>
        <w:t>, 10 November 2017. https://www.thebookseller.com/news/sexual-harassment-reported-over-half-trade-survey-671276#.</w:t>
      </w:r>
    </w:p>
    <w:p w14:paraId="302B8F1B" w14:textId="77777777" w:rsidR="008F5D33" w:rsidRPr="008F5D33" w:rsidRDefault="008F5D33" w:rsidP="008F5D33">
      <w:pPr>
        <w:pStyle w:val="Bibliography"/>
        <w:rPr>
          <w:rFonts w:cs="Arial"/>
        </w:rPr>
      </w:pPr>
      <w:r w:rsidRPr="008F5D33">
        <w:rPr>
          <w:rFonts w:cs="Arial"/>
        </w:rPr>
        <w:t xml:space="preserve">Brook, Orian, David O’Brien, and Mark Taylor. </w:t>
      </w:r>
      <w:r w:rsidRPr="008F5D33">
        <w:rPr>
          <w:rFonts w:cs="Arial"/>
          <w:i/>
          <w:iCs/>
        </w:rPr>
        <w:t>Culture Is Bad for You</w:t>
      </w:r>
      <w:r w:rsidRPr="008F5D33">
        <w:rPr>
          <w:rFonts w:cs="Arial"/>
        </w:rPr>
        <w:t>. Manchester: Manchester University Press, 2020.</w:t>
      </w:r>
    </w:p>
    <w:p w14:paraId="121DB8CE" w14:textId="77777777" w:rsidR="008F5D33" w:rsidRPr="008F5D33" w:rsidRDefault="008F5D33" w:rsidP="008F5D33">
      <w:pPr>
        <w:pStyle w:val="Bibliography"/>
        <w:rPr>
          <w:rFonts w:cs="Arial"/>
        </w:rPr>
      </w:pPr>
      <w:r w:rsidRPr="008F5D33">
        <w:rPr>
          <w:rFonts w:cs="Arial"/>
        </w:rPr>
        <w:t>———. ‘Panic! It’s an Arts Emergency. Panic! Social Class, Taste and Inequalities in the Creative Industries’. Create London, Arts Emergency, 16 April 2018.</w:t>
      </w:r>
    </w:p>
    <w:p w14:paraId="194780F1" w14:textId="77777777" w:rsidR="008F5D33" w:rsidRPr="008F5D33" w:rsidRDefault="008F5D33" w:rsidP="008F5D33">
      <w:pPr>
        <w:pStyle w:val="Bibliography"/>
        <w:rPr>
          <w:rFonts w:cs="Arial"/>
        </w:rPr>
      </w:pPr>
      <w:r w:rsidRPr="008F5D33">
        <w:rPr>
          <w:rFonts w:cs="Arial"/>
        </w:rPr>
        <w:t>Caplan, Walker. ‘Read the Open Letter Calling out Transphobia in the British Book Industry.’ LitHub, 5 May 2021. https://lithub.com/read-the-open-letter-calling-out-transphobia-in-the-british-book-industry/.</w:t>
      </w:r>
    </w:p>
    <w:p w14:paraId="672A69AD" w14:textId="77777777" w:rsidR="008F5D33" w:rsidRPr="008F5D33" w:rsidRDefault="008F5D33" w:rsidP="008F5D33">
      <w:pPr>
        <w:pStyle w:val="Bibliography"/>
        <w:rPr>
          <w:rFonts w:cs="Arial"/>
        </w:rPr>
      </w:pPr>
      <w:r w:rsidRPr="008F5D33">
        <w:rPr>
          <w:rFonts w:cs="Arial"/>
        </w:rPr>
        <w:t xml:space="preserve">Christianson, Aileen, and Alison Lumsden, eds. </w:t>
      </w:r>
      <w:r w:rsidRPr="008F5D33">
        <w:rPr>
          <w:rFonts w:cs="Arial"/>
          <w:i/>
          <w:iCs/>
        </w:rPr>
        <w:t>Contemporary Scottish Women Writers</w:t>
      </w:r>
      <w:r w:rsidRPr="008F5D33">
        <w:rPr>
          <w:rFonts w:cs="Arial"/>
        </w:rPr>
        <w:t>. Edinburgh: Edinburgh University Press, 2000.</w:t>
      </w:r>
    </w:p>
    <w:p w14:paraId="612500AA" w14:textId="77777777" w:rsidR="008F5D33" w:rsidRPr="008F5D33" w:rsidRDefault="008F5D33" w:rsidP="008F5D33">
      <w:pPr>
        <w:pStyle w:val="Bibliography"/>
        <w:rPr>
          <w:rFonts w:cs="Arial"/>
        </w:rPr>
      </w:pPr>
      <w:r w:rsidRPr="008F5D33">
        <w:rPr>
          <w:rFonts w:cs="Arial"/>
        </w:rPr>
        <w:t xml:space="preserve">Crenshaw, Kimberlé. ‘Demarginalizing the Intersection of Race and Sex: A Black Feminist Critique of Antidiscrimination Doctrine, Feminist Theory and Antiracist Politics’. </w:t>
      </w:r>
      <w:r w:rsidRPr="008F5D33">
        <w:rPr>
          <w:rFonts w:cs="Arial"/>
          <w:i/>
          <w:iCs/>
        </w:rPr>
        <w:t>University of Chicago Legal Forum</w:t>
      </w:r>
      <w:r w:rsidRPr="008F5D33">
        <w:rPr>
          <w:rFonts w:cs="Arial"/>
        </w:rPr>
        <w:t xml:space="preserve"> 1989, no. 1 (1989): 139–67.</w:t>
      </w:r>
    </w:p>
    <w:p w14:paraId="63976C65" w14:textId="77777777" w:rsidR="008F5D33" w:rsidRPr="008F5D33" w:rsidRDefault="008F5D33" w:rsidP="008F5D33">
      <w:pPr>
        <w:pStyle w:val="Bibliography"/>
        <w:rPr>
          <w:rFonts w:cs="Arial"/>
        </w:rPr>
      </w:pPr>
      <w:r w:rsidRPr="008F5D33">
        <w:rPr>
          <w:rFonts w:cs="Arial"/>
        </w:rPr>
        <w:t xml:space="preserve">Evaristo, Bernardine. ‘Bernardine Evaristo: “These Are Unprecedented Times for Black Female Writers”’. </w:t>
      </w:r>
      <w:r w:rsidRPr="008F5D33">
        <w:rPr>
          <w:rFonts w:cs="Arial"/>
          <w:i/>
          <w:iCs/>
        </w:rPr>
        <w:t>The Guardian</w:t>
      </w:r>
      <w:r w:rsidRPr="008F5D33">
        <w:rPr>
          <w:rFonts w:cs="Arial"/>
        </w:rPr>
        <w:t>, 19 October 2019, sec. Books. https://www.theguardian.com/books/2019/oct/19/bernadine-evaristo-what-a-time-to-be-a-black-british-womxn-writer.</w:t>
      </w:r>
    </w:p>
    <w:p w14:paraId="43265B72" w14:textId="77777777" w:rsidR="008F5D33" w:rsidRPr="008F5D33" w:rsidRDefault="008F5D33" w:rsidP="008F5D33">
      <w:pPr>
        <w:pStyle w:val="Bibliography"/>
        <w:rPr>
          <w:rFonts w:cs="Arial"/>
        </w:rPr>
      </w:pPr>
      <w:r w:rsidRPr="008F5D33">
        <w:rPr>
          <w:rFonts w:cs="Arial"/>
        </w:rPr>
        <w:t xml:space="preserve">Flood, Alison. ‘#Publishingpaidme: Authors Share Advances to Expose Racial Disparities’. </w:t>
      </w:r>
      <w:r w:rsidRPr="008F5D33">
        <w:rPr>
          <w:rFonts w:cs="Arial"/>
          <w:i/>
          <w:iCs/>
        </w:rPr>
        <w:t>The Guardian</w:t>
      </w:r>
      <w:r w:rsidRPr="008F5D33">
        <w:rPr>
          <w:rFonts w:cs="Arial"/>
        </w:rPr>
        <w:t>, 8 June 2020, sec. Books. https://www.theguardian.com/books/2020/jun/08/publishingpaidme-authors-share-advances-to-expose-racial-disparities.</w:t>
      </w:r>
    </w:p>
    <w:p w14:paraId="318F0ED0" w14:textId="77777777" w:rsidR="008F5D33" w:rsidRPr="008F5D33" w:rsidRDefault="008F5D33" w:rsidP="008F5D33">
      <w:pPr>
        <w:pStyle w:val="Bibliography"/>
        <w:rPr>
          <w:rFonts w:cs="Arial"/>
        </w:rPr>
      </w:pPr>
      <w:r w:rsidRPr="008F5D33">
        <w:rPr>
          <w:rFonts w:cs="Arial"/>
        </w:rPr>
        <w:t xml:space="preserve">Fuller, Danielle, DeNel Rehberg Sedo, and Claire Squires. ‘Marionettes and Puppeteers? The Relationship between Book Club Readers and Publishers’. In </w:t>
      </w:r>
      <w:r w:rsidRPr="008F5D33">
        <w:rPr>
          <w:rFonts w:cs="Arial"/>
          <w:i/>
          <w:iCs/>
        </w:rPr>
        <w:t>Reading Communities from Salons to Cyberspace</w:t>
      </w:r>
      <w:r w:rsidRPr="008F5D33">
        <w:rPr>
          <w:rFonts w:cs="Arial"/>
        </w:rPr>
        <w:t>, edited by DeNel Rehberg Sedo, 181–99. Basingstoke: Palgrave Macmillan, 2011.</w:t>
      </w:r>
    </w:p>
    <w:p w14:paraId="583818B4" w14:textId="77777777" w:rsidR="008F5D33" w:rsidRPr="008F5D33" w:rsidRDefault="008F5D33" w:rsidP="008F5D33">
      <w:pPr>
        <w:pStyle w:val="Bibliography"/>
        <w:rPr>
          <w:rFonts w:cs="Arial"/>
        </w:rPr>
      </w:pPr>
      <w:r w:rsidRPr="008F5D33">
        <w:rPr>
          <w:rFonts w:cs="Arial"/>
        </w:rPr>
        <w:t xml:space="preserve">Gifford, Douglas, and Dorothy McMillan, eds. </w:t>
      </w:r>
      <w:r w:rsidRPr="008F5D33">
        <w:rPr>
          <w:rFonts w:cs="Arial"/>
          <w:i/>
          <w:iCs/>
        </w:rPr>
        <w:t>A History of Scottish Women’s Writing</w:t>
      </w:r>
      <w:r w:rsidRPr="008F5D33">
        <w:rPr>
          <w:rFonts w:cs="Arial"/>
        </w:rPr>
        <w:t>. Edinburgh: Edinburgh University Press, 1997.</w:t>
      </w:r>
    </w:p>
    <w:p w14:paraId="7B1894BE" w14:textId="77777777" w:rsidR="008F5D33" w:rsidRPr="008F5D33" w:rsidRDefault="008F5D33" w:rsidP="008F5D33">
      <w:pPr>
        <w:pStyle w:val="Bibliography"/>
        <w:rPr>
          <w:rFonts w:cs="Arial"/>
        </w:rPr>
      </w:pPr>
      <w:r w:rsidRPr="008F5D33">
        <w:rPr>
          <w:rFonts w:cs="Arial"/>
        </w:rPr>
        <w:t>Giles, Harry Josephine. ‘Being Trans in Scottish Literature’. Medium, 26 February 2021. https://harryjosiegiles.medium.com/being-trans-in-scottish-literature-639c33908f88.</w:t>
      </w:r>
    </w:p>
    <w:p w14:paraId="790F37AE" w14:textId="77777777" w:rsidR="008F5D33" w:rsidRPr="008F5D33" w:rsidRDefault="008F5D33" w:rsidP="008F5D33">
      <w:pPr>
        <w:pStyle w:val="Bibliography"/>
        <w:rPr>
          <w:rFonts w:cs="Arial"/>
        </w:rPr>
      </w:pPr>
      <w:r w:rsidRPr="008F5D33">
        <w:rPr>
          <w:rFonts w:cs="Arial"/>
        </w:rPr>
        <w:t>Glasgow Women’s Library. ‘Take Over Tent for Revolting Women’, 12 July 2018. https://womenslibrary.org.uk/event/take-over-tent-for-revolting-women/2018-08-23/.</w:t>
      </w:r>
    </w:p>
    <w:p w14:paraId="57D7F563" w14:textId="77777777" w:rsidR="008F5D33" w:rsidRPr="008F5D33" w:rsidRDefault="008F5D33" w:rsidP="008F5D33">
      <w:pPr>
        <w:pStyle w:val="Bibliography"/>
        <w:rPr>
          <w:rFonts w:cs="Arial"/>
        </w:rPr>
      </w:pPr>
      <w:r w:rsidRPr="008F5D33">
        <w:rPr>
          <w:rFonts w:cs="Arial"/>
        </w:rPr>
        <w:lastRenderedPageBreak/>
        <w:t xml:space="preserve">Gossett, Reina, Eric A. Stanley, and Johanna Burton. ‘Known Unknowns: An Introduction to Trap Door’. In </w:t>
      </w:r>
      <w:r w:rsidRPr="008F5D33">
        <w:rPr>
          <w:rFonts w:cs="Arial"/>
          <w:i/>
          <w:iCs/>
        </w:rPr>
        <w:t>Trap Door: Trans Cultural Production and the Politics of Visibility</w:t>
      </w:r>
      <w:r w:rsidRPr="008F5D33">
        <w:rPr>
          <w:rFonts w:cs="Arial"/>
        </w:rPr>
        <w:t>, edited by Reina Gossett, Eric A. Stanley, and Johanna Burton, xv–xxvi. Critical Anthologies in Art and Culture. Cambridge, Massachusetts &amp; London, England: The MIT Press, copublished with the New Museum, New York, 2017.</w:t>
      </w:r>
    </w:p>
    <w:p w14:paraId="12EDB574" w14:textId="77777777" w:rsidR="008F5D33" w:rsidRPr="008F5D33" w:rsidRDefault="008F5D33" w:rsidP="008F5D33">
      <w:pPr>
        <w:pStyle w:val="Bibliography"/>
        <w:rPr>
          <w:rFonts w:cs="Arial"/>
        </w:rPr>
      </w:pPr>
      <w:r w:rsidRPr="008F5D33">
        <w:rPr>
          <w:rFonts w:cs="Arial"/>
        </w:rPr>
        <w:t>Guyan, Kevin. ‘BAME Perceptions and Experiences of Scotland’s Literary Sector’. Scotland: EDI Scotland, SBWN, July 2020. https://scottishbamewritersnetwork.org/wp-content/uploads/2020/07/EDI-Scotland-Final-Report-20200701.pdf.</w:t>
      </w:r>
    </w:p>
    <w:p w14:paraId="4456D87D" w14:textId="77777777" w:rsidR="008F5D33" w:rsidRPr="008F5D33" w:rsidRDefault="008F5D33" w:rsidP="008F5D33">
      <w:pPr>
        <w:pStyle w:val="Bibliography"/>
        <w:rPr>
          <w:rFonts w:cs="Arial"/>
        </w:rPr>
      </w:pPr>
      <w:r w:rsidRPr="008F5D33">
        <w:rPr>
          <w:rFonts w:cs="Arial"/>
        </w:rPr>
        <w:t>———. ‘Perceptions and Experiences of Writers of Colour in Scotland’s Literary Sector’. Scotland: EDI Scotland, SBWN, May 2021. https://scottishbamewritersnetwork.org/wp-content/uploads/2021/05/EDI-Scotland-Perceptions-and-experiences-2021.pdf.</w:t>
      </w:r>
    </w:p>
    <w:p w14:paraId="52BC19D6" w14:textId="77777777" w:rsidR="008F5D33" w:rsidRPr="008F5D33" w:rsidRDefault="008F5D33" w:rsidP="008F5D33">
      <w:pPr>
        <w:pStyle w:val="Bibliography"/>
        <w:rPr>
          <w:rFonts w:cs="Arial"/>
        </w:rPr>
      </w:pPr>
      <w:r w:rsidRPr="008F5D33">
        <w:rPr>
          <w:rFonts w:cs="Arial"/>
        </w:rPr>
        <w:t xml:space="preserve">Harvey, Melinda, and Julieanne Lamond. ‘Taking the Measure of Gender Disparity in Australian Book Reviewing as a Field, 1985 and 2013’. </w:t>
      </w:r>
      <w:r w:rsidRPr="008F5D33">
        <w:rPr>
          <w:rFonts w:cs="Arial"/>
          <w:i/>
          <w:iCs/>
        </w:rPr>
        <w:t>Australian Humanities Review</w:t>
      </w:r>
      <w:r w:rsidRPr="008F5D33">
        <w:rPr>
          <w:rFonts w:cs="Arial"/>
        </w:rPr>
        <w:t xml:space="preserve"> 60 (2016): 84–107.</w:t>
      </w:r>
    </w:p>
    <w:p w14:paraId="15380C33" w14:textId="77777777" w:rsidR="008F5D33" w:rsidRPr="008F5D33" w:rsidRDefault="008F5D33" w:rsidP="008F5D33">
      <w:pPr>
        <w:pStyle w:val="Bibliography"/>
        <w:rPr>
          <w:rFonts w:cs="Arial"/>
        </w:rPr>
      </w:pPr>
      <w:r w:rsidRPr="008F5D33">
        <w:rPr>
          <w:rFonts w:cs="Arial"/>
        </w:rPr>
        <w:t xml:space="preserve">Hochschild, Arlie Russell. </w:t>
      </w:r>
      <w:r w:rsidRPr="008F5D33">
        <w:rPr>
          <w:rFonts w:cs="Arial"/>
          <w:i/>
          <w:iCs/>
        </w:rPr>
        <w:t>The Managed Heart: Commercialization of Human Feeling</w:t>
      </w:r>
      <w:r w:rsidRPr="008F5D33">
        <w:rPr>
          <w:rFonts w:cs="Arial"/>
        </w:rPr>
        <w:t>. Berkely, Los Angeles, London: University of California Press, 1983.</w:t>
      </w:r>
    </w:p>
    <w:p w14:paraId="2238B1C2" w14:textId="77777777" w:rsidR="008F5D33" w:rsidRPr="008F5D33" w:rsidRDefault="008F5D33" w:rsidP="008F5D33">
      <w:pPr>
        <w:pStyle w:val="Bibliography"/>
        <w:rPr>
          <w:rFonts w:cs="Arial"/>
        </w:rPr>
      </w:pPr>
      <w:r w:rsidRPr="008F5D33">
        <w:rPr>
          <w:rFonts w:cs="Arial"/>
        </w:rPr>
        <w:t>Kean, Danuta. ‘Are You Serious? The Emilia Report into the Gender Gap for Authors’, 18 March 2019.</w:t>
      </w:r>
    </w:p>
    <w:p w14:paraId="74081FE9" w14:textId="77777777" w:rsidR="008F5D33" w:rsidRPr="008F5D33" w:rsidRDefault="008F5D33" w:rsidP="008F5D33">
      <w:pPr>
        <w:pStyle w:val="Bibliography"/>
        <w:rPr>
          <w:rFonts w:cs="Arial"/>
        </w:rPr>
      </w:pPr>
      <w:r w:rsidRPr="008F5D33">
        <w:rPr>
          <w:rFonts w:cs="Arial"/>
        </w:rPr>
        <w:t xml:space="preserve">———, ed. ‘In Full Colour: Cultural Diversity in Publishing Today’. In </w:t>
      </w:r>
      <w:r w:rsidRPr="008F5D33">
        <w:rPr>
          <w:rFonts w:cs="Arial"/>
          <w:i/>
          <w:iCs/>
        </w:rPr>
        <w:t>Bookseller Publications</w:t>
      </w:r>
      <w:r w:rsidRPr="008F5D33">
        <w:rPr>
          <w:rFonts w:cs="Arial"/>
        </w:rPr>
        <w:t>. London: Bookseller Publications, 2004.</w:t>
      </w:r>
    </w:p>
    <w:p w14:paraId="76BD35F0" w14:textId="77777777" w:rsidR="008F5D33" w:rsidRPr="008F5D33" w:rsidRDefault="008F5D33" w:rsidP="008F5D33">
      <w:pPr>
        <w:pStyle w:val="Bibliography"/>
        <w:rPr>
          <w:rFonts w:cs="Arial"/>
        </w:rPr>
      </w:pPr>
      <w:r w:rsidRPr="008F5D33">
        <w:rPr>
          <w:rFonts w:cs="Arial"/>
        </w:rPr>
        <w:t>Melanin in YA. ‘Publishing Paid Me’, 13 September 2020. https://melanininya.com/publishing-paid-me/.</w:t>
      </w:r>
    </w:p>
    <w:p w14:paraId="53CB219C" w14:textId="77777777" w:rsidR="008F5D33" w:rsidRPr="008F5D33" w:rsidRDefault="008F5D33" w:rsidP="008F5D33">
      <w:pPr>
        <w:pStyle w:val="Bibliography"/>
        <w:rPr>
          <w:rFonts w:cs="Arial"/>
        </w:rPr>
      </w:pPr>
      <w:r w:rsidRPr="008F5D33">
        <w:rPr>
          <w:rFonts w:cs="Arial"/>
        </w:rPr>
        <w:t>Nicolaou, Elena, and Courtney E. Smith. ‘A #MeToo Timeline To Show How Far We’ve Come — &amp; How Far We Need To Go’. Refinery29, 6 October 2019. https://www.refinery29.com/en-gb/2018/10/213189/me-too-movement-history-timeline-year-weinstein.</w:t>
      </w:r>
    </w:p>
    <w:p w14:paraId="32D54D64" w14:textId="77777777" w:rsidR="008F5D33" w:rsidRPr="008F5D33" w:rsidRDefault="008F5D33" w:rsidP="008F5D33">
      <w:pPr>
        <w:pStyle w:val="Bibliography"/>
        <w:rPr>
          <w:rFonts w:cs="Arial"/>
        </w:rPr>
      </w:pPr>
      <w:r w:rsidRPr="008F5D33">
        <w:rPr>
          <w:rFonts w:cs="Arial"/>
        </w:rPr>
        <w:t xml:space="preserve">Norquay, Glenda, ed. </w:t>
      </w:r>
      <w:r w:rsidRPr="008F5D33">
        <w:rPr>
          <w:rFonts w:cs="Arial"/>
          <w:i/>
          <w:iCs/>
        </w:rPr>
        <w:t>The Edinburgh Companion to Scottish Women’s Writing</w:t>
      </w:r>
      <w:r w:rsidRPr="008F5D33">
        <w:rPr>
          <w:rFonts w:cs="Arial"/>
        </w:rPr>
        <w:t>. Edinburgh: Edinburgh University Press, 2012.</w:t>
      </w:r>
    </w:p>
    <w:p w14:paraId="3C06C880" w14:textId="77777777" w:rsidR="008F5D33" w:rsidRPr="008F5D33" w:rsidRDefault="008F5D33" w:rsidP="008F5D33">
      <w:pPr>
        <w:pStyle w:val="Bibliography"/>
        <w:rPr>
          <w:rFonts w:cs="Arial"/>
        </w:rPr>
      </w:pPr>
      <w:r w:rsidRPr="008F5D33">
        <w:rPr>
          <w:rFonts w:cs="Arial"/>
        </w:rPr>
        <w:t xml:space="preserve">Parnell, Claire, Alexandra Dane, and Millicent Weber. ‘Author Care and the Invisibility of Affective Labour: Publicists’ Role in Book Publishing’. </w:t>
      </w:r>
      <w:r w:rsidRPr="008F5D33">
        <w:rPr>
          <w:rFonts w:cs="Arial"/>
          <w:i/>
          <w:iCs/>
        </w:rPr>
        <w:t>Publishing Research Quarterly</w:t>
      </w:r>
      <w:r w:rsidRPr="008F5D33">
        <w:rPr>
          <w:rFonts w:cs="Arial"/>
        </w:rPr>
        <w:t xml:space="preserve"> 36, no. 4 (1 December 2020): 648–59. https://doi.org/10.1007/s12109-020-09763-9.</w:t>
      </w:r>
    </w:p>
    <w:p w14:paraId="6B46A1CD" w14:textId="77777777" w:rsidR="008F5D33" w:rsidRPr="008F5D33" w:rsidRDefault="008F5D33" w:rsidP="008F5D33">
      <w:pPr>
        <w:pStyle w:val="Bibliography"/>
        <w:rPr>
          <w:rFonts w:cs="Arial"/>
        </w:rPr>
      </w:pPr>
      <w:r w:rsidRPr="008F5D33">
        <w:rPr>
          <w:rFonts w:cs="Arial"/>
        </w:rPr>
        <w:t xml:space="preserve">Pittin-Hédon, Marie-Odile. ‘“They Peer at My Dark Land”: The Ethics of Storytelling in Twenty-First-Century Scottish Women’s Writing’. In </w:t>
      </w:r>
      <w:r w:rsidRPr="008F5D33">
        <w:rPr>
          <w:rFonts w:cs="Arial"/>
          <w:i/>
          <w:iCs/>
        </w:rPr>
        <w:t>Scottish Writing after Devolution: Edges of the New</w:t>
      </w:r>
      <w:r w:rsidRPr="008F5D33">
        <w:rPr>
          <w:rFonts w:cs="Arial"/>
        </w:rPr>
        <w:t>, edited by Marie-Odile Pittin-Hédon, Camille Manfredi, and Scott Hames, 35–56. Edinburgh: Edinburgh University Press, 2022.</w:t>
      </w:r>
    </w:p>
    <w:p w14:paraId="0FBA245F" w14:textId="77777777" w:rsidR="008F5D33" w:rsidRPr="008F5D33" w:rsidRDefault="008F5D33" w:rsidP="008F5D33">
      <w:pPr>
        <w:pStyle w:val="Bibliography"/>
        <w:rPr>
          <w:rFonts w:cs="Arial"/>
        </w:rPr>
      </w:pPr>
      <w:r w:rsidRPr="008F5D33">
        <w:rPr>
          <w:rFonts w:cs="Arial"/>
        </w:rPr>
        <w:t>Publishing Scotland. ‘Market Insights’, 2022. https://www.publishingscotland.org/about-publishing/market-insights/.</w:t>
      </w:r>
    </w:p>
    <w:p w14:paraId="7311FD64" w14:textId="77777777" w:rsidR="008F5D33" w:rsidRPr="008F5D33" w:rsidRDefault="008F5D33" w:rsidP="008F5D33">
      <w:pPr>
        <w:pStyle w:val="Bibliography"/>
        <w:rPr>
          <w:rFonts w:cs="Arial"/>
        </w:rPr>
      </w:pPr>
      <w:r w:rsidRPr="008F5D33">
        <w:rPr>
          <w:rFonts w:cs="Arial"/>
        </w:rPr>
        <w:t>‘#PUBLISHINGPAIDME - Google Sheets’. Accessed 7 March 2025. https://docs.google.com/spreadsheets/d/1Xsx6rKJtafa8f_prlYYD3zRxaXYVDaPXbasvt_iA2vA/edit?gid=1798364047#gid=1798364047.</w:t>
      </w:r>
    </w:p>
    <w:p w14:paraId="1432DDF7" w14:textId="77777777" w:rsidR="008F5D33" w:rsidRPr="008F5D33" w:rsidRDefault="008F5D33" w:rsidP="008F5D33">
      <w:pPr>
        <w:pStyle w:val="Bibliography"/>
        <w:rPr>
          <w:rFonts w:cs="Arial"/>
        </w:rPr>
      </w:pPr>
      <w:r w:rsidRPr="008F5D33">
        <w:rPr>
          <w:rFonts w:cs="Arial"/>
        </w:rPr>
        <w:t xml:space="preserve">Ramdarshan Bold, Melanie. ‘The Eight Percent Problem: Authors of Colour in the British Young Adult Market (2006–2016)’. </w:t>
      </w:r>
      <w:r w:rsidRPr="008F5D33">
        <w:rPr>
          <w:rFonts w:cs="Arial"/>
          <w:i/>
          <w:iCs/>
        </w:rPr>
        <w:t>Publishing Research Quarterly</w:t>
      </w:r>
      <w:r w:rsidRPr="008F5D33">
        <w:rPr>
          <w:rFonts w:cs="Arial"/>
        </w:rPr>
        <w:t>, 27 July 2018, 1–22. https://doi.org/10.1007/s12109-018-9600-5.</w:t>
      </w:r>
    </w:p>
    <w:p w14:paraId="7E7A1149" w14:textId="77777777" w:rsidR="008F5D33" w:rsidRPr="008F5D33" w:rsidRDefault="008F5D33" w:rsidP="008F5D33">
      <w:pPr>
        <w:pStyle w:val="Bibliography"/>
        <w:rPr>
          <w:rFonts w:cs="Arial"/>
        </w:rPr>
      </w:pPr>
      <w:r w:rsidRPr="008F5D33">
        <w:rPr>
          <w:rFonts w:cs="Arial"/>
        </w:rPr>
        <w:t xml:space="preserve">———. ‘The Thirteen Percent Problem: Authors of Colour in the British Young Adult Market, 2017-2019 Edition’. </w:t>
      </w:r>
      <w:r w:rsidRPr="008F5D33">
        <w:rPr>
          <w:rFonts w:cs="Arial"/>
          <w:i/>
          <w:iCs/>
        </w:rPr>
        <w:t xml:space="preserve">The International Journal of Young Adult </w:t>
      </w:r>
      <w:r w:rsidRPr="008F5D33">
        <w:rPr>
          <w:rFonts w:cs="Arial"/>
          <w:i/>
          <w:iCs/>
        </w:rPr>
        <w:lastRenderedPageBreak/>
        <w:t>Literature</w:t>
      </w:r>
      <w:r w:rsidRPr="008F5D33">
        <w:rPr>
          <w:rFonts w:cs="Arial"/>
        </w:rPr>
        <w:t xml:space="preserve"> 2, no. 1 (12 November 2021): 1–35. https://doi.org/10.24877/IJYAL.37.</w:t>
      </w:r>
    </w:p>
    <w:p w14:paraId="2BF62571" w14:textId="77777777" w:rsidR="008F5D33" w:rsidRPr="008F5D33" w:rsidRDefault="008F5D33" w:rsidP="008F5D33">
      <w:pPr>
        <w:pStyle w:val="Bibliography"/>
        <w:rPr>
          <w:rFonts w:cs="Arial"/>
        </w:rPr>
      </w:pPr>
      <w:r w:rsidRPr="008F5D33">
        <w:rPr>
          <w:rFonts w:cs="Arial"/>
        </w:rPr>
        <w:t xml:space="preserve">Saha, Anamik. ‘Diversity Initiatives Don’t Work, They Just Make Things Worse: The Ideological Function of Diversity in the Cultural Industries’. </w:t>
      </w:r>
      <w:r w:rsidRPr="008F5D33">
        <w:rPr>
          <w:rFonts w:cs="Arial"/>
          <w:i/>
          <w:iCs/>
        </w:rPr>
        <w:t>Media Diversified</w:t>
      </w:r>
      <w:r w:rsidRPr="008F5D33">
        <w:rPr>
          <w:rFonts w:cs="Arial"/>
        </w:rPr>
        <w:t xml:space="preserve"> (blog), 16 February 2017. https://mediadiversified.org/2017/02/16/diversity-initiatives-dont-work-they-just-make-things-worse-the-ideological-function-of-diversity-in-the-cultural-industries/.</w:t>
      </w:r>
    </w:p>
    <w:p w14:paraId="1D0726B6" w14:textId="77777777" w:rsidR="008F5D33" w:rsidRPr="008F5D33" w:rsidRDefault="008F5D33" w:rsidP="008F5D33">
      <w:pPr>
        <w:pStyle w:val="Bibliography"/>
        <w:rPr>
          <w:rFonts w:cs="Arial"/>
        </w:rPr>
      </w:pPr>
      <w:r w:rsidRPr="008F5D33">
        <w:rPr>
          <w:rFonts w:cs="Arial"/>
        </w:rPr>
        <w:t>Saha, Anamik, and Sandra van Lente. ‘Rethinking “Diversity” in Publishing’. London: Goldsmiths, University of London, 2020.</w:t>
      </w:r>
    </w:p>
    <w:p w14:paraId="3664D29C" w14:textId="77777777" w:rsidR="008F5D33" w:rsidRPr="008F5D33" w:rsidRDefault="008F5D33" w:rsidP="008F5D33">
      <w:pPr>
        <w:pStyle w:val="Bibliography"/>
        <w:rPr>
          <w:rFonts w:cs="Arial"/>
        </w:rPr>
      </w:pPr>
      <w:r w:rsidRPr="008F5D33">
        <w:rPr>
          <w:rFonts w:cs="Arial"/>
        </w:rPr>
        <w:t>Scotland’s Census. ‘Scotland’s Census 2022 - Rounded Population Estimates’, 4 February 2025. https://www.scotlandscensus.gov.uk/2022-results/scotlands-census-2022-rounded-population-estimates/.</w:t>
      </w:r>
    </w:p>
    <w:p w14:paraId="54F070E1" w14:textId="77777777" w:rsidR="008F5D33" w:rsidRPr="008F5D33" w:rsidRDefault="008F5D33" w:rsidP="008F5D33">
      <w:pPr>
        <w:pStyle w:val="Bibliography"/>
        <w:rPr>
          <w:rFonts w:cs="Arial"/>
        </w:rPr>
      </w:pPr>
      <w:r w:rsidRPr="008F5D33">
        <w:rPr>
          <w:rFonts w:cs="Arial"/>
        </w:rPr>
        <w:t>Scotland’s Census. ‘Scotland’s Census 2022 - Sexual Orientation and Trans Status or History’, 18 December 2024. https://www.scotlandscensus.gov.uk/2022-results/scotland-s-census-2022-sexual-orientation-and-trans-status-or-history/.</w:t>
      </w:r>
    </w:p>
    <w:p w14:paraId="27274926" w14:textId="77777777" w:rsidR="008F5D33" w:rsidRPr="008F5D33" w:rsidRDefault="008F5D33" w:rsidP="008F5D33">
      <w:pPr>
        <w:pStyle w:val="Bibliography"/>
        <w:rPr>
          <w:rFonts w:cs="Arial"/>
        </w:rPr>
      </w:pPr>
      <w:r w:rsidRPr="008F5D33">
        <w:rPr>
          <w:rFonts w:cs="Arial"/>
        </w:rPr>
        <w:t>Scotland’s Census. ‘Scotland’s Census: Population’, 2011. https://www.scotlandscensus.gov.uk/census-results/at-a-glance/population/.</w:t>
      </w:r>
    </w:p>
    <w:p w14:paraId="292DEF61" w14:textId="77777777" w:rsidR="008F5D33" w:rsidRPr="008F5D33" w:rsidRDefault="008F5D33" w:rsidP="008F5D33">
      <w:pPr>
        <w:pStyle w:val="Bibliography"/>
        <w:rPr>
          <w:rFonts w:cs="Arial"/>
        </w:rPr>
      </w:pPr>
      <w:r w:rsidRPr="008F5D33">
        <w:rPr>
          <w:rFonts w:cs="Arial"/>
        </w:rPr>
        <w:t xml:space="preserve">Sobande, Francesca. ‘Woke-Washing: “Intersectional” Femvertising and Branding “Woke” Bravery’. </w:t>
      </w:r>
      <w:r w:rsidRPr="008F5D33">
        <w:rPr>
          <w:rFonts w:cs="Arial"/>
          <w:i/>
          <w:iCs/>
        </w:rPr>
        <w:t>European Journal of Marketing</w:t>
      </w:r>
      <w:r w:rsidRPr="008F5D33">
        <w:rPr>
          <w:rFonts w:cs="Arial"/>
        </w:rPr>
        <w:t xml:space="preserve"> 54, no. 11 (1 January 2019): 2723–45. https://doi.org/10.1108/EJM-02-2019-0134.</w:t>
      </w:r>
    </w:p>
    <w:p w14:paraId="62451508" w14:textId="77777777" w:rsidR="008F5D33" w:rsidRPr="008F5D33" w:rsidRDefault="008F5D33" w:rsidP="008F5D33">
      <w:pPr>
        <w:pStyle w:val="Bibliography"/>
        <w:rPr>
          <w:rFonts w:cs="Arial"/>
        </w:rPr>
      </w:pPr>
      <w:r w:rsidRPr="008F5D33">
        <w:rPr>
          <w:rFonts w:cs="Arial"/>
        </w:rPr>
        <w:t xml:space="preserve">Squires, Claire. ‘Patchy and Negligible’. </w:t>
      </w:r>
      <w:r w:rsidRPr="008F5D33">
        <w:rPr>
          <w:rFonts w:cs="Arial"/>
          <w:i/>
          <w:iCs/>
        </w:rPr>
        <w:t>Bella Caledonia</w:t>
      </w:r>
      <w:r w:rsidRPr="008F5D33">
        <w:rPr>
          <w:rFonts w:cs="Arial"/>
        </w:rPr>
        <w:t xml:space="preserve"> (blog), 4 June 2019. https://bellacaledonia.org.uk/2019/06/04/patchy-and-negligible/.</w:t>
      </w:r>
    </w:p>
    <w:p w14:paraId="0F44C7F9" w14:textId="77777777" w:rsidR="008F5D33" w:rsidRPr="008F5D33" w:rsidRDefault="008F5D33" w:rsidP="008F5D33">
      <w:pPr>
        <w:pStyle w:val="Bibliography"/>
        <w:rPr>
          <w:rFonts w:cs="Arial"/>
        </w:rPr>
      </w:pPr>
      <w:r w:rsidRPr="008F5D33">
        <w:rPr>
          <w:rFonts w:cs="Arial"/>
        </w:rPr>
        <w:t>Squires, Claire, and Beth Driscoll. ‘The Sleaze-O-Meter: Sexual Harassment in the Publishing Industry’. Interscript, 3 August 2018. https://www.interscriptjournal.com/online-magazine/sleaze-o-meter.</w:t>
      </w:r>
    </w:p>
    <w:p w14:paraId="5CB85CCB" w14:textId="77777777" w:rsidR="008F5D33" w:rsidRPr="008F5D33" w:rsidRDefault="008F5D33" w:rsidP="008F5D33">
      <w:pPr>
        <w:pStyle w:val="Bibliography"/>
        <w:rPr>
          <w:rFonts w:cs="Arial"/>
        </w:rPr>
      </w:pPr>
      <w:r w:rsidRPr="008F5D33">
        <w:rPr>
          <w:rFonts w:cs="Arial"/>
        </w:rPr>
        <w:t>Stonewall. ‘List of LGBTQ+ Terms’. Accessed 9 January 2025. https://www.stonewall.org.uk/resources/list-lgbtq-terms.</w:t>
      </w:r>
    </w:p>
    <w:p w14:paraId="27CCC093" w14:textId="77777777" w:rsidR="008F5D33" w:rsidRPr="008F5D33" w:rsidRDefault="008F5D33" w:rsidP="008F5D33">
      <w:pPr>
        <w:pStyle w:val="Bibliography"/>
        <w:rPr>
          <w:rFonts w:cs="Arial"/>
        </w:rPr>
      </w:pPr>
      <w:r w:rsidRPr="008F5D33">
        <w:rPr>
          <w:rFonts w:cs="Arial"/>
        </w:rPr>
        <w:t>The Film and TV Charity. ‘Bullying and Harassment’. Accessed 7 March 2025. https://filmtvcharity.org.uk/get-support/problems-at-work/bullying-and-harassment/.</w:t>
      </w:r>
    </w:p>
    <w:p w14:paraId="75047F4C" w14:textId="77777777" w:rsidR="008F5D33" w:rsidRPr="008F5D33" w:rsidRDefault="008F5D33" w:rsidP="008F5D33">
      <w:pPr>
        <w:pStyle w:val="Bibliography"/>
        <w:rPr>
          <w:rFonts w:cs="Arial"/>
        </w:rPr>
      </w:pPr>
      <w:r w:rsidRPr="008F5D33">
        <w:rPr>
          <w:rFonts w:cs="Arial"/>
        </w:rPr>
        <w:t>The Film and TV Charity. ‘Discrimination’. Accessed 7 March 2025. https://filmtvcharity.org.uk/get-support/problems-at-work/discrimination/.</w:t>
      </w:r>
    </w:p>
    <w:p w14:paraId="489473C8" w14:textId="77777777" w:rsidR="008F5D33" w:rsidRPr="008F5D33" w:rsidRDefault="008F5D33" w:rsidP="008F5D33">
      <w:pPr>
        <w:pStyle w:val="Bibliography"/>
        <w:rPr>
          <w:rFonts w:cs="Arial"/>
        </w:rPr>
      </w:pPr>
      <w:r w:rsidRPr="008F5D33">
        <w:rPr>
          <w:rFonts w:cs="Arial"/>
        </w:rPr>
        <w:t xml:space="preserve">Washington, Natalia, and Daniel Kelly. ‘Who’s Responsible for This? Moral Responsibility, Externalism, and Knowledge about Implicit Bias’. In </w:t>
      </w:r>
      <w:r w:rsidRPr="008F5D33">
        <w:rPr>
          <w:rFonts w:cs="Arial"/>
          <w:i/>
          <w:iCs/>
        </w:rPr>
        <w:t>Implicit Bias and Philosophy, Volume 2: Moral Responsibility, Structural Injustice, and Ethics</w:t>
      </w:r>
      <w:r w:rsidRPr="008F5D33">
        <w:rPr>
          <w:rFonts w:cs="Arial"/>
        </w:rPr>
        <w:t>, edited by Michael Brownstein and Jennifer Saul, 10–36. Oxford: Oxford University Press, 2016.</w:t>
      </w:r>
    </w:p>
    <w:p w14:paraId="022A8C2A" w14:textId="77777777" w:rsidR="008F5D33" w:rsidRPr="008F5D33" w:rsidRDefault="008F5D33" w:rsidP="008F5D33">
      <w:pPr>
        <w:pStyle w:val="Bibliography"/>
        <w:rPr>
          <w:rFonts w:cs="Arial"/>
        </w:rPr>
      </w:pPr>
      <w:r w:rsidRPr="008F5D33">
        <w:rPr>
          <w:rFonts w:cs="Arial"/>
        </w:rPr>
        <w:t xml:space="preserve">Whyte, Christopher, ed. </w:t>
      </w:r>
      <w:r w:rsidRPr="008F5D33">
        <w:rPr>
          <w:rFonts w:cs="Arial"/>
          <w:i/>
          <w:iCs/>
        </w:rPr>
        <w:t>Gendering the Nation: Studies in Modern Scottish Literature</w:t>
      </w:r>
      <w:r w:rsidRPr="008F5D33">
        <w:rPr>
          <w:rFonts w:cs="Arial"/>
        </w:rPr>
        <w:t>. Edinburgh: Edinburgh University Press, 1995.</w:t>
      </w:r>
    </w:p>
    <w:p w14:paraId="354FC5D4" w14:textId="77777777" w:rsidR="008F5D33" w:rsidRPr="008F5D33" w:rsidRDefault="008F5D33" w:rsidP="008F5D33">
      <w:pPr>
        <w:pStyle w:val="Bibliography"/>
        <w:rPr>
          <w:rFonts w:cs="Arial"/>
        </w:rPr>
      </w:pPr>
      <w:r w:rsidRPr="008F5D33">
        <w:rPr>
          <w:rFonts w:cs="Arial"/>
        </w:rPr>
        <w:t>Wood, Heloise. ‘Open Letter Says “Transphobia Acceptable in British Book Industry”’. The Bookseller, 3 May 2021. https://www.thebookseller.com/news/open-letter-says-transphobia-acceptable-british-book-industry-1257896.</w:t>
      </w:r>
    </w:p>
    <w:p w14:paraId="71F50BA3" w14:textId="0548FFCC" w:rsidR="008F5D33" w:rsidRPr="008F5D33" w:rsidRDefault="008F5D33">
      <w:pPr>
        <w:rPr>
          <w:rFonts w:cs="Arial"/>
        </w:rPr>
      </w:pPr>
      <w:r>
        <w:rPr>
          <w:rFonts w:cs="Arial"/>
        </w:rPr>
        <w:fldChar w:fldCharType="end"/>
      </w:r>
    </w:p>
    <w:sectPr w:rsidR="008F5D33" w:rsidRPr="008F5D33">
      <w:type w:val="continuous"/>
      <w:pgSz w:w="11906" w:h="16838"/>
      <w:pgMar w:top="1440" w:right="1440" w:bottom="1440" w:left="1440" w:header="708" w:footer="708" w:gutter="0"/>
      <w:cols w:space="720"/>
      <w:formProt w:val="0"/>
      <w:docGrid w:linePitch="312"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687D3" w14:textId="77777777" w:rsidR="00EF1F78" w:rsidRDefault="00EF1F78">
      <w:pPr>
        <w:spacing w:after="0" w:line="240" w:lineRule="auto"/>
      </w:pPr>
      <w:r>
        <w:separator/>
      </w:r>
    </w:p>
  </w:endnote>
  <w:endnote w:type="continuationSeparator" w:id="0">
    <w:p w14:paraId="76CDFFD6" w14:textId="77777777" w:rsidR="00EF1F78" w:rsidRDefault="00EF1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23B361DB-260E-BC4D-924C-D53DCD2320C3}"/>
    <w:embedBold r:id="rId2" w:fontKey="{AB1E990E-1A9F-0746-B1C2-FBE9C4B354D9}"/>
    <w:embedItalic r:id="rId3" w:fontKey="{20A7EAC5-532F-8241-9E98-C215A3A06BEC}"/>
  </w:font>
  <w:font w:name="Calibri">
    <w:panose1 w:val="020F0502020204030204"/>
    <w:charset w:val="00"/>
    <w:family w:val="swiss"/>
    <w:pitch w:val="variable"/>
    <w:sig w:usb0="E4002EFF" w:usb1="C200247B" w:usb2="00000009" w:usb3="00000000" w:csb0="000001FF" w:csb1="00000000"/>
    <w:embedRegular r:id="rId4" w:fontKey="{BF4B00EC-8ECE-5141-960F-BB697FEB1B80}"/>
    <w:embedBold r:id="rId5" w:fontKey="{968CC986-84FE-8241-998B-F18D821A9378}"/>
    <w:embedItalic r:id="rId6" w:fontKey="{72977DDA-2DA5-A246-8B15-F6ED3F791D65}"/>
  </w:font>
  <w:font w:name="Courier New">
    <w:panose1 w:val="02070309020205020404"/>
    <w:charset w:val="00"/>
    <w:family w:val="modern"/>
    <w:pitch w:val="fixed"/>
    <w:sig w:usb0="E0002EFF" w:usb1="C0007843" w:usb2="00000009" w:usb3="00000000" w:csb0="000001FF" w:csb1="00000000"/>
    <w:embedRegular r:id="rId7" w:fontKey="{AD5F7DB9-CE36-9B4B-8F2E-EF8241ED5324}"/>
  </w:font>
  <w:font w:name="Times New Roman">
    <w:panose1 w:val="02020603050405020304"/>
    <w:charset w:val="00"/>
    <w:family w:val="roman"/>
    <w:pitch w:val="variable"/>
    <w:sig w:usb0="E0002EFF" w:usb1="C000785B" w:usb2="00000009" w:usb3="00000000" w:csb0="000001FF" w:csb1="00000000"/>
    <w:embedRegular r:id="rId8" w:fontKey="{1B237BAD-83EE-CD42-A913-6EB4F510D16C}"/>
    <w:embedBold r:id="rId9" w:fontKey="{FE2E1221-4F3A-0B40-8632-EF5C6AAB3A4F}"/>
    <w:embedItalic r:id="rId10" w:fontKey="{FCAA2878-2029-FA42-A025-1404A753BF08}"/>
  </w:font>
  <w:font w:name="Wingdings">
    <w:panose1 w:val="05000000000000000000"/>
    <w:charset w:val="4D"/>
    <w:family w:val="decorative"/>
    <w:pitch w:val="variable"/>
    <w:sig w:usb0="00000003" w:usb1="00000000" w:usb2="00000000" w:usb3="00000000" w:csb0="80000001" w:csb1="00000000"/>
    <w:embedRegular r:id="rId11" w:fontKey="{1ACE3825-33FF-4346-9D5E-B67790BF2D68}"/>
  </w:font>
  <w:font w:name="Symbol">
    <w:panose1 w:val="05050102010706020507"/>
    <w:charset w:val="02"/>
    <w:family w:val="decorative"/>
    <w:pitch w:val="variable"/>
    <w:sig w:usb0="00000000" w:usb1="10000000" w:usb2="00000000" w:usb3="00000000" w:csb0="80000000" w:csb1="00000000"/>
    <w:embedRegular r:id="rId12" w:fontKey="{DFEF5EFB-DEB5-B945-AEF4-5EF3A1BCB2DD}"/>
    <w:embedItalic r:id="rId13" w:fontKey="{84DB26EA-6056-084E-854E-190BE34AE346}"/>
  </w:font>
  <w:font w:name="Calibri Light">
    <w:panose1 w:val="020F0302020204030204"/>
    <w:charset w:val="00"/>
    <w:family w:val="swiss"/>
    <w:pitch w:val="variable"/>
    <w:sig w:usb0="E4002EFF" w:usb1="C200247B" w:usb2="00000009" w:usb3="00000000" w:csb0="000001FF" w:csb1="00000000"/>
    <w:embedRegular r:id="rId14" w:fontKey="{9E8ADA3B-1175-3F4A-A8BB-C421B85BC3F2}"/>
    <w:embedBold r:id="rId15" w:fontKey="{BA805DF4-7029-1744-809C-8847173737D2}"/>
  </w:font>
  <w:font w:name="Yu Gothic Light">
    <w:panose1 w:val="020B0300000000000000"/>
    <w:charset w:val="80"/>
    <w:family w:val="swiss"/>
    <w:pitch w:val="variable"/>
    <w:sig w:usb0="E00002FF" w:usb1="2AC7FDFF" w:usb2="00000016" w:usb3="00000000" w:csb0="0002009F" w:csb1="00000000"/>
  </w:font>
  <w:font w:name="Segoe UI">
    <w:panose1 w:val="020B0604020202020204"/>
    <w:charset w:val="00"/>
    <w:family w:val="swiss"/>
    <w:pitch w:val="variable"/>
    <w:sig w:usb0="E4002EFF" w:usb1="C000E47F" w:usb2="00000009" w:usb3="00000000" w:csb0="000001FF" w:csb1="00000000"/>
    <w:embedRegular r:id="rId16" w:fontKey="{4EF3AA4B-4C13-A744-94DA-64A403288694}"/>
  </w:font>
  <w:font w:name="Yu Mincho">
    <w:panose1 w:val="02020400000000000000"/>
    <w:charset w:val="80"/>
    <w:family w:val="roman"/>
    <w:pitch w:val="variable"/>
    <w:sig w:usb0="800002E7" w:usb1="2AC7FCFF" w:usb2="00000012" w:usb3="00000000" w:csb0="0002009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embedRegular r:id="rId18" w:fontKey="{70FF44BD-A05A-F445-AA10-C04DB7F8C862}"/>
  </w:font>
  <w:font w:name="Cambria">
    <w:panose1 w:val="02040503050406030204"/>
    <w:charset w:val="00"/>
    <w:family w:val="roman"/>
    <w:pitch w:val="variable"/>
    <w:sig w:usb0="E00006FF" w:usb1="420024FF" w:usb2="02000000" w:usb3="00000000" w:csb0="0000019F" w:csb1="00000000"/>
    <w:embedRegular r:id="rId19" w:fontKey="{1D336474-BDED-CB41-A376-935D6567F9B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2DA39" w14:textId="77777777" w:rsidR="008A5792" w:rsidRDefault="008A57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2042025"/>
      <w:docPartObj>
        <w:docPartGallery w:val="Page Numbers (Bottom of Page)"/>
        <w:docPartUnique/>
      </w:docPartObj>
    </w:sdtPr>
    <w:sdtContent>
      <w:p w14:paraId="1F3ECC5C" w14:textId="77777777" w:rsidR="00704C08" w:rsidRDefault="00000000">
        <w:pPr>
          <w:pStyle w:val="Footer"/>
          <w:jc w:val="right"/>
          <w:rPr>
            <w:rFonts w:cs="Arial"/>
            <w:szCs w:val="24"/>
          </w:rPr>
        </w:pPr>
        <w:r>
          <w:fldChar w:fldCharType="begin"/>
        </w:r>
        <w:r>
          <w:instrText>PAGE</w:instrText>
        </w:r>
        <w:r>
          <w:fldChar w:fldCharType="separate"/>
        </w:r>
        <w:r>
          <w:t>51</w:t>
        </w:r>
        <w:r>
          <w:fldChar w:fldCharType="end"/>
        </w:r>
      </w:p>
    </w:sdtContent>
  </w:sdt>
  <w:p w14:paraId="4732AB08" w14:textId="77777777" w:rsidR="00704C08" w:rsidRDefault="00704C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5C369" w14:textId="77777777" w:rsidR="008A5792" w:rsidRDefault="008A57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74133" w14:textId="77777777" w:rsidR="00EF1F78" w:rsidRDefault="00EF1F78">
      <w:pPr>
        <w:spacing w:after="0" w:line="240" w:lineRule="auto"/>
      </w:pPr>
      <w:r>
        <w:separator/>
      </w:r>
    </w:p>
  </w:footnote>
  <w:footnote w:type="continuationSeparator" w:id="0">
    <w:p w14:paraId="2CCF9751" w14:textId="77777777" w:rsidR="00EF1F78" w:rsidRDefault="00EF1F78">
      <w:pPr>
        <w:spacing w:after="0" w:line="240" w:lineRule="auto"/>
      </w:pPr>
      <w:r>
        <w:continuationSeparator/>
      </w:r>
    </w:p>
  </w:footnote>
  <w:footnote w:id="1">
    <w:p w14:paraId="00CF7489" w14:textId="48467F43" w:rsidR="00DB0375" w:rsidRPr="00E91D1E" w:rsidRDefault="00DB0375">
      <w:pPr>
        <w:pStyle w:val="FootnoteText"/>
        <w:rPr>
          <w:rFonts w:cs="Arial"/>
          <w:lang w:val="de-AT"/>
        </w:rPr>
      </w:pPr>
      <w:r w:rsidRPr="00715DA1">
        <w:rPr>
          <w:rStyle w:val="FootnoteReference"/>
        </w:rPr>
        <w:footnoteRef/>
      </w:r>
      <w:r w:rsidRPr="00E91D1E">
        <w:rPr>
          <w:rFonts w:cs="Arial"/>
        </w:rPr>
        <w:t xml:space="preserve"> BPOC stands for Black people, People of Colour</w:t>
      </w:r>
    </w:p>
  </w:footnote>
  <w:footnote w:id="2">
    <w:p w14:paraId="19E809A9" w14:textId="5477D318" w:rsidR="005E6BD8" w:rsidRPr="00E91D1E" w:rsidRDefault="005E6BD8">
      <w:pPr>
        <w:pStyle w:val="FootnoteText"/>
        <w:rPr>
          <w:rFonts w:cs="Arial"/>
        </w:rPr>
      </w:pPr>
      <w:r w:rsidRPr="00715DA1">
        <w:rPr>
          <w:rStyle w:val="FootnoteReference"/>
        </w:rPr>
        <w:footnoteRef/>
      </w:r>
      <w:r w:rsidRPr="00E91D1E">
        <w:rPr>
          <w:rFonts w:cs="Arial"/>
        </w:rPr>
        <w:t xml:space="preserve"> Other shortlists either </w:t>
      </w:r>
      <w:r w:rsidR="00726409">
        <w:rPr>
          <w:rFonts w:cs="Arial"/>
        </w:rPr>
        <w:t>were not</w:t>
      </w:r>
      <w:r w:rsidRPr="00E91D1E">
        <w:rPr>
          <w:rFonts w:cs="Arial"/>
        </w:rPr>
        <w:t xml:space="preserve"> available or lacked sufficient ethnicity data.</w:t>
      </w:r>
    </w:p>
  </w:footnote>
  <w:footnote w:id="3">
    <w:p w14:paraId="2C4E81EF" w14:textId="44E021CE" w:rsidR="00424EA8" w:rsidRPr="00E91D1E" w:rsidRDefault="00424EA8">
      <w:pPr>
        <w:pStyle w:val="FootnoteText"/>
        <w:rPr>
          <w:rFonts w:cs="Arial"/>
        </w:rPr>
      </w:pPr>
      <w:r w:rsidRPr="00715DA1">
        <w:rPr>
          <w:rStyle w:val="FootnoteReference"/>
        </w:rPr>
        <w:footnoteRef/>
      </w:r>
      <w:r w:rsidRPr="00E91D1E">
        <w:rPr>
          <w:rFonts w:cs="Arial"/>
        </w:rPr>
        <w:t xml:space="preserve"> Several reviews included books by more than 1 author, hence the discrepancy between total authors and total reviewers.</w:t>
      </w:r>
    </w:p>
  </w:footnote>
  <w:footnote w:id="4">
    <w:p w14:paraId="6DEA51D5" w14:textId="77777777" w:rsidR="00A2121A" w:rsidRPr="00E91D1E" w:rsidRDefault="00A2121A" w:rsidP="00A2121A">
      <w:pPr>
        <w:pStyle w:val="FootnoteText"/>
        <w:rPr>
          <w:rFonts w:cs="Arial"/>
        </w:rPr>
      </w:pPr>
      <w:r w:rsidRPr="00715DA1">
        <w:rPr>
          <w:rStyle w:val="FootnoteReference"/>
        </w:rPr>
        <w:footnoteRef/>
      </w:r>
      <w:r w:rsidRPr="00E91D1E">
        <w:rPr>
          <w:rFonts w:cs="Arial"/>
        </w:rPr>
        <w:t xml:space="preserve"> Bloody Scotland programmed fewer than 10 solo events in this time period.</w:t>
      </w:r>
    </w:p>
  </w:footnote>
  <w:footnote w:id="5">
    <w:p w14:paraId="086EAD56" w14:textId="4F6FA4CE" w:rsidR="001A6652" w:rsidRPr="001A6652" w:rsidRDefault="001A6652">
      <w:pPr>
        <w:pStyle w:val="FootnoteText"/>
        <w:rPr>
          <w:lang w:val="de-AT"/>
        </w:rPr>
      </w:pPr>
      <w:r w:rsidRPr="00715DA1">
        <w:rPr>
          <w:rStyle w:val="FootnoteReference"/>
        </w:rPr>
        <w:footnoteRef/>
      </w:r>
      <w:r>
        <w:t xml:space="preserve"> </w:t>
      </w:r>
      <w:r>
        <w:fldChar w:fldCharType="begin"/>
      </w:r>
      <w:r>
        <w:instrText xml:space="preserve"> ADDIN ZOTERO_ITEM CSL_CITATION {"citationID":"a23jvvjjvkg","properties":{"formattedCitation":"Saha and van Lente, \\uc0\\u8216{}Rethinking \\uc0\\u8220{}Diversity\\uc0\\u8221{} in Publishing\\uc0\\u8217{}.","plainCitation":"Saha and van Lente, ‘Rethinking “Diversity” in Publishing’.","noteIndex":5},"citationItems":[{"id":2247,"uris":["http://zotero.org/users/4455276/items/7VDBVY73"],"itemData":{"id":2247,"type":"report","event-place":"London","publisher":"Goldsmiths, University of London","publisher-place":"London","title":"Rethinking 'Diversity' in Publishing","author":[{"family":"Saha","given":"Anamik"},{"family":"Lente","given":"Sandra","non-dropping-particle":"van"}],"issued":{"date-parts":[["2020"]]}}}],"schema":"https://github.com/citation-style-language/schema/raw/master/csl-citation.json"} </w:instrText>
      </w:r>
      <w:r>
        <w:fldChar w:fldCharType="separate"/>
      </w:r>
      <w:r w:rsidRPr="001A6652">
        <w:rPr>
          <w:rFonts w:cs="Arial"/>
        </w:rPr>
        <w:t>Saha and van Lente, ‘Rethinking “Diversity” in Publishing’.</w:t>
      </w:r>
      <w:r>
        <w:fldChar w:fldCharType="end"/>
      </w:r>
    </w:p>
  </w:footnote>
  <w:footnote w:id="6">
    <w:p w14:paraId="53212D90" w14:textId="1995637D" w:rsidR="00054339" w:rsidRPr="00054339" w:rsidRDefault="00054339">
      <w:pPr>
        <w:pStyle w:val="FootnoteText"/>
        <w:rPr>
          <w:rFonts w:cs="Arial"/>
        </w:rPr>
      </w:pPr>
      <w:r w:rsidRPr="00715DA1">
        <w:rPr>
          <w:rStyle w:val="FootnoteReference"/>
        </w:rPr>
        <w:footnoteRef/>
      </w:r>
      <w:r>
        <w:t xml:space="preserve"> </w:t>
      </w:r>
      <w:r w:rsidRPr="00E91D1E">
        <w:rPr>
          <w:rFonts w:cs="Arial"/>
        </w:rPr>
        <w:t>I use this term to describe transgender, intersex and/or non-binary people</w:t>
      </w:r>
      <w:r>
        <w:rPr>
          <w:rFonts w:cs="Arial"/>
        </w:rPr>
        <w:t>.</w:t>
      </w:r>
    </w:p>
  </w:footnote>
  <w:footnote w:id="7">
    <w:p w14:paraId="32397817" w14:textId="563F3663" w:rsidR="00FB34F4" w:rsidRPr="001A6652" w:rsidRDefault="00FB34F4">
      <w:pPr>
        <w:pStyle w:val="FootnoteText"/>
        <w:rPr>
          <w:rFonts w:cs="Arial"/>
        </w:rPr>
      </w:pPr>
      <w:r w:rsidRPr="00715DA1">
        <w:rPr>
          <w:rStyle w:val="FootnoteReference"/>
        </w:rPr>
        <w:footnoteRef/>
      </w:r>
      <w:r w:rsidRPr="001A6652">
        <w:rPr>
          <w:rFonts w:cs="Arial"/>
          <w:sz w:val="24"/>
          <w:szCs w:val="24"/>
        </w:rPr>
        <w:t xml:space="preserve"> </w:t>
      </w:r>
      <w:r w:rsidRPr="001A6652">
        <w:rPr>
          <w:rFonts w:cs="Arial"/>
        </w:rPr>
        <w:fldChar w:fldCharType="begin"/>
      </w:r>
      <w:r w:rsidR="001A6652" w:rsidRPr="001A6652">
        <w:rPr>
          <w:rFonts w:cs="Arial"/>
        </w:rPr>
        <w:instrText xml:space="preserve"> ADDIN ZOTERO_ITEM CSL_CITATION {"citationID":"a2gpvkdb569","properties":{"formattedCitation":"Whyte, {\\i{}Gendering the Nation: Studies in Modern Scottish Literature}; Gifford and McMillan, {\\i{}A History of Scottish Women\\uc0\\u8217{}s Writing}; Christianson and Lumsden, {\\i{}Contemporary Scottish Women Writers}; Norquay, {\\i{}The Edinburgh Companion to Scottish Women\\uc0\\u8217{}s Writing}.","plainCitation":"Whyte, Gendering the Nation: Studies in Modern Scottish Literature; Gifford and McMillan, A History of Scottish Women’s Writing; Christianson and Lumsden, Contemporary Scottish Women Writers; Norquay, The Edinburgh Companion to Scottish Women’s Writing.","noteIndex":7},"citationItems":[{"id":13,"uris":["http://zotero.org/users/4455276/items/MZZVNJM9"],"itemData":{"id":13,"type":"book","event-place":"Edinburgh","publisher":"Edinburgh University Press","publisher-place":"Edinburgh","title":"Gendering the nation: studies in modern Scottish literature","editor":[{"family":"Whyte","given":"Christopher"}],"issued":{"date-parts":[["1995"]]}}},{"id":186,"uris":["http://zotero.org/users/4455276/items/CNSZNMRY"],"itemData":{"id":186,"type":"book","event-place":"Edinburgh","publisher":"Edinburgh University Press","publisher-place":"Edinburgh","title":"A History of Scottish Women's Writing","editor":[{"family":"Gifford","given":"Douglas"},{"family":"McMillan","given":"Dorothy"}],"issued":{"date-parts":[["1997"]]}}},{"id":676,"uris":["http://zotero.org/users/4455276/items/IEHYZMJH"],"itemData":{"id":676,"type":"book","abstract":"Scottish women's poetry 1972-1999: transforming traditions -- Kathleen Jamie's semiotic of Scotlands -- Liz Lochhead's poetry and drama: forging ironies -- Sharman Macdonald: the generation of identity -- Sue Glover, Rona Munro, Lara Jane Bunting: echoes and open spaces -- Jackie Kay's poetry and prose: constructing identity -- Muriel Spark and Candia McWilliam: continuities -- Agnes Owens's fiction: untold stories -- Emma Tennant, Elspeth Barker, Alice Thompson: Gothic revisited -- Janice Galloway's novels: fraudulent mooching -- A.L. Kennedy's longer fiction: articulate grace --Scottish women's short stories: 'repositories of life swiftly apphrehended'., \"This collection of essays, by both new and established critics, provides reading of many of the Scottish women writers working in Scots and English today. A variety of critical approaches ensures diversity in these essays on fiction, poetry and drama. While in the growing field of Scottish women's writing it is impossible to be all encompassing, these essays cover a wide range from the most established, Muriel Spark, to newer writers such as Laura Hird. It includes new readings of Janice Galloway and A. L. Kennedy and examines the work of poets such as Carol Ann Duffy and Kate Clanchy, dramatists such as Sharman Macdonald and Sue Glover, as well as writers, including Jackie Kay, who cross genre boundaries. Exploring the interface between gender and nation as well as the excitement and energy generated by much of this writing, these essays fill a gap in critical response to contemporary Scottish women writers\"--book jacket.","call-number":"PR8533 Con., EUP.00.45","event-place":"Edinburgh","ISBN":"978-0-7486-0979-6","language":"eng","publisher":"Edinburgh University Press","publisher-place":"Edinburgh","source":"discovered.ed.ac.uk","title":"Contemporary Scottish women writers","editor":[{"family":"Christianson","given":"Aileen"},{"family":"Lumsden","given":"Alison"}],"issued":{"date-parts":[["2000"]]}}},{"id":338,"uris":["http://zotero.org/users/4455276/items/I7RVUBG3"],"itemData":{"id":338,"type":"book","event-place":"Edinburgh","publisher":"Edinburgh University Press","publisher-place":"Edinburgh","title":"The Edinburgh Companion to Scottish Women's Writing","editor":[{"family":"Norquay","given":"Glenda"}],"issued":{"date-parts":[["2012"]]}}}],"schema":"https://github.com/citation-style-language/schema/raw/master/csl-citation.json"} </w:instrText>
      </w:r>
      <w:r w:rsidRPr="001A6652">
        <w:rPr>
          <w:rFonts w:cs="Arial"/>
        </w:rPr>
        <w:fldChar w:fldCharType="separate"/>
      </w:r>
      <w:r w:rsidR="001A6652" w:rsidRPr="001A6652">
        <w:rPr>
          <w:rFonts w:cs="Arial"/>
        </w:rPr>
        <w:t>Whyte, Gendering the Nation: Studies in Modern Scottish Literature; Gifford and McMillan, A History of Scottish Women’s Writing; Christianson and Lumsden, Contemporary Scottish Women Writers; Norquay, The Edinburgh Companion to Scottish Women’s Writing.</w:t>
      </w:r>
      <w:r w:rsidRPr="001A6652">
        <w:rPr>
          <w:rFonts w:cs="Arial"/>
        </w:rPr>
        <w:fldChar w:fldCharType="end"/>
      </w:r>
    </w:p>
  </w:footnote>
  <w:footnote w:id="8">
    <w:p w14:paraId="179130DA" w14:textId="307C3CEC" w:rsidR="00CF3015" w:rsidRPr="001A6652" w:rsidRDefault="00CF3015">
      <w:pPr>
        <w:pStyle w:val="FootnoteText"/>
        <w:rPr>
          <w:rFonts w:cs="Arial"/>
        </w:rPr>
      </w:pPr>
      <w:r w:rsidRPr="00715DA1">
        <w:rPr>
          <w:rStyle w:val="FootnoteReference"/>
        </w:rPr>
        <w:footnoteRef/>
      </w:r>
      <w:r w:rsidRPr="001A6652">
        <w:rPr>
          <w:rFonts w:cs="Arial"/>
        </w:rPr>
        <w:t xml:space="preserve"> </w:t>
      </w:r>
      <w:r w:rsidRPr="001A6652">
        <w:rPr>
          <w:rFonts w:cs="Arial"/>
        </w:rPr>
        <w:fldChar w:fldCharType="begin"/>
      </w:r>
      <w:r w:rsidR="001A6652" w:rsidRPr="001A6652">
        <w:rPr>
          <w:rFonts w:cs="Arial"/>
        </w:rPr>
        <w:instrText xml:space="preserve"> ADDIN ZOTERO_ITEM CSL_CITATION {"citationID":"a1obipl65s7","properties":{"formattedCitation":"Pittin-H\\uc0\\u233{}don, \\uc0\\u8216{}\\uc0\\u8220{}They Peer at My Dark Land\\uc0\\u8221{}: The Ethics of Storytelling in Twenty-First-Century Scottish Women\\uc0\\u8217{}s Writing\\uc0\\u8217{}, 37.","plainCitation":"Pittin-Hédon, ‘“They Peer at My Dark Land”: The Ethics of Storytelling in Twenty-First-Century Scottish Women’s Writing’, 37.","noteIndex":8},"citationItems":[{"id":2863,"uris":["http://zotero.org/users/4455276/items/86KLAU94"],"itemData":{"id":2863,"type":"chapter","container-title":"Scottish Writing after Devolution: Edges of the New","event-place":"Edinburgh","page":"35-56","publisher":"Edinburgh University Press","publisher-place":"Edinburgh","title":"'They peer at my dark land': The Ethics of Storytelling in Twenty-First-Century Scottish Women's Writing","editor":[{"family":"Pittin-Hédon","given":"Marie-Odile"},{"family":"Manfredi","given":"Camille"},{"family":"Hames","given":"Scott"}],"author":[{"family":"Pittin-Hédon","given":"Marie-Odile"}],"issued":{"date-parts":[["2022"]]}},"locator":"37","label":"page"}],"schema":"https://github.com/citation-style-language/schema/raw/master/csl-citation.json"} </w:instrText>
      </w:r>
      <w:r w:rsidRPr="001A6652">
        <w:rPr>
          <w:rFonts w:cs="Arial"/>
        </w:rPr>
        <w:fldChar w:fldCharType="separate"/>
      </w:r>
      <w:r w:rsidR="001A6652" w:rsidRPr="001A6652">
        <w:rPr>
          <w:rFonts w:cs="Arial"/>
        </w:rPr>
        <w:t>Pittin-Hédon, ‘“They Peer at My Dark Land”: The Ethics of Storytelling in Twenty-First-Century Scottish Women’s Writing’, 37.</w:t>
      </w:r>
      <w:r w:rsidRPr="001A6652">
        <w:rPr>
          <w:rFonts w:cs="Arial"/>
        </w:rPr>
        <w:fldChar w:fldCharType="end"/>
      </w:r>
    </w:p>
  </w:footnote>
  <w:footnote w:id="9">
    <w:p w14:paraId="108A8A4D" w14:textId="54B74492" w:rsidR="00263252" w:rsidRPr="001A6652" w:rsidRDefault="00263252">
      <w:pPr>
        <w:pStyle w:val="FootnoteText"/>
        <w:rPr>
          <w:rFonts w:cs="Arial"/>
        </w:rPr>
      </w:pPr>
      <w:r w:rsidRPr="00715DA1">
        <w:rPr>
          <w:rStyle w:val="FootnoteReference"/>
        </w:rPr>
        <w:footnoteRef/>
      </w:r>
      <w:r w:rsidRPr="00D95BD3">
        <w:rPr>
          <w:rFonts w:cs="Arial"/>
          <w:vertAlign w:val="superscript"/>
        </w:rPr>
        <w:t xml:space="preserve"> </w:t>
      </w:r>
      <w:r w:rsidRPr="001A6652">
        <w:rPr>
          <w:rFonts w:cs="Arial"/>
        </w:rPr>
        <w:fldChar w:fldCharType="begin"/>
      </w:r>
      <w:r w:rsidR="001A6652" w:rsidRPr="001A6652">
        <w:rPr>
          <w:rFonts w:cs="Arial"/>
        </w:rPr>
        <w:instrText xml:space="preserve"> ADDIN ZOTERO_ITEM CSL_CITATION {"citationID":"a1l92auhbip","properties":{"formattedCitation":"Flood, \\uc0\\u8216{}#Publishingpaidme\\uc0\\u8217{}.","plainCitation":"Flood, ‘#Publishingpaidme’.","noteIndex":9},"citationItems":[{"id":3297,"uris":["http://zotero.org/users/4455276/items/CS7UJQPA"],"itemData":{"id":3297,"type":"article-newspaper","abstract":"Fantasy author LL McKinney sets off trend for authors to reveal the amounts paid for their work, pointing to stark differences between ethnicities","container-title":"The Guardian","ISSN":"0261-3077","language":"en-GB","section":"Books","source":"The Guardian","title":"#Publishingpaidme: authors share advances to expose racial disparities","title-short":"#Publishingpaidme","URL":"https://www.theguardian.com/books/2020/jun/08/publishingpaidme-authors-share-advances-to-expose-racial-disparities","author":[{"family":"Flood","given":"Alison"}],"accessed":{"date-parts":[["2025",3,7]]},"issued":{"date-parts":[["2020",6,8]]}}}],"schema":"https://github.com/citation-style-language/schema/raw/master/csl-citation.json"} </w:instrText>
      </w:r>
      <w:r w:rsidRPr="001A6652">
        <w:rPr>
          <w:rFonts w:cs="Arial"/>
        </w:rPr>
        <w:fldChar w:fldCharType="separate"/>
      </w:r>
      <w:r w:rsidR="001A6652" w:rsidRPr="001A6652">
        <w:rPr>
          <w:rFonts w:cs="Arial"/>
        </w:rPr>
        <w:t>Flood, ‘#Publishingpaidme’.</w:t>
      </w:r>
      <w:r w:rsidRPr="001A6652">
        <w:rPr>
          <w:rFonts w:cs="Arial"/>
        </w:rPr>
        <w:fldChar w:fldCharType="end"/>
      </w:r>
    </w:p>
  </w:footnote>
  <w:footnote w:id="10">
    <w:p w14:paraId="044928E6" w14:textId="5701986E" w:rsidR="00263252" w:rsidRPr="001A6652" w:rsidRDefault="00263252">
      <w:pPr>
        <w:pStyle w:val="FootnoteText"/>
        <w:rPr>
          <w:rFonts w:cs="Arial"/>
        </w:rPr>
      </w:pPr>
      <w:r w:rsidRPr="00715DA1">
        <w:rPr>
          <w:rStyle w:val="FootnoteReference"/>
        </w:rPr>
        <w:footnoteRef/>
      </w:r>
      <w:r w:rsidRPr="001A6652">
        <w:rPr>
          <w:rFonts w:cs="Arial"/>
        </w:rPr>
        <w:t xml:space="preserve"> </w:t>
      </w:r>
      <w:r w:rsidRPr="001A6652">
        <w:rPr>
          <w:rFonts w:cs="Arial"/>
        </w:rPr>
        <w:fldChar w:fldCharType="begin"/>
      </w:r>
      <w:r w:rsidR="001A6652" w:rsidRPr="001A6652">
        <w:rPr>
          <w:rFonts w:cs="Arial"/>
        </w:rPr>
        <w:instrText xml:space="preserve"> ADDIN ZOTERO_ITEM CSL_CITATION {"citationID":"a16o98ojgl7","properties":{"formattedCitation":"\\uc0\\u8216{}Bookcareers.Com Salary Survey Results 2017\\uc0\\u8217{}; \\uc0\\u8216{}Bookcareers Salary Survey 2021 - RESULTS\\uc0\\u8217{}.","plainCitation":"‘Bookcareers.Com Salary Survey Results 2017’; ‘Bookcareers Salary Survey 2021 - RESULTS’.","noteIndex":10},"citationItems":[{"id":404,"uris":["http://zotero.org/users/4455276/items/WJS82UDH"],"itemData":{"id":404,"type":"post-weblog","abstract":"These are the headline results from the bookcareers.com Salary Survey 2017 sponsored by Inspired Search &amp; Selection Ltd. All statistics are taken from the bookcareers.com Salary Survey 2017 and are the copyright of bookcareers.com.  The full report is now on sale. Respondents completed an online form, between June and July 2017.   The form was …","container-title":"Bookcareers","language":"en-GB","title":"bookcareers.com Salary Survey Results 2017","URL":"https://www.bookcareers.com/salary-survey-2/bookcareers-com-salary-survey-results-2017/","accessed":{"date-parts":[["2018",6,26]]}}},{"id":2994,"uris":["http://zotero.org/users/4455276/items/24F8IGVZ"],"itemData":{"id":2994,"type":"post-weblog","abstract":"These are the headline results from the bookcareers.com Salary Survey 2021 The full report is now available to purchase. Click here. All statistics are taken from the bookcareers.com Salary Survey […]","container-title":"Bookcareers","language":"en-GB","title":"bookcareers Salary Survey 2021 - RESULTS","URL":"https://www.bookcareers.com/bookcareers-salary-survey-2021-results/","accessed":{"date-parts":[["2024",4,9]]}}}],"schema":"https://github.com/citation-style-language/schema/raw/master/csl-citation.json"} </w:instrText>
      </w:r>
      <w:r w:rsidRPr="001A6652">
        <w:rPr>
          <w:rFonts w:cs="Arial"/>
        </w:rPr>
        <w:fldChar w:fldCharType="separate"/>
      </w:r>
      <w:r w:rsidR="001A6652" w:rsidRPr="001A6652">
        <w:rPr>
          <w:rFonts w:cs="Arial"/>
        </w:rPr>
        <w:t>‘Bookcareers.Com Salary Survey Results 2017’; ‘Bookcareers Salary Survey 2021 - RESULTS’.</w:t>
      </w:r>
      <w:r w:rsidRPr="001A6652">
        <w:rPr>
          <w:rFonts w:cs="Arial"/>
        </w:rPr>
        <w:fldChar w:fldCharType="end"/>
      </w:r>
    </w:p>
  </w:footnote>
  <w:footnote w:id="11">
    <w:p w14:paraId="7A817191" w14:textId="61A8CBFC" w:rsidR="00263252" w:rsidRPr="001A6652" w:rsidRDefault="00263252">
      <w:pPr>
        <w:pStyle w:val="FootnoteText"/>
        <w:rPr>
          <w:rFonts w:cs="Arial"/>
        </w:rPr>
      </w:pPr>
      <w:r w:rsidRPr="00715DA1">
        <w:rPr>
          <w:rStyle w:val="FootnoteReference"/>
        </w:rPr>
        <w:footnoteRef/>
      </w:r>
      <w:r w:rsidRPr="00D95BD3">
        <w:rPr>
          <w:rFonts w:cs="Arial"/>
          <w:vertAlign w:val="superscript"/>
        </w:rPr>
        <w:t xml:space="preserve"> </w:t>
      </w:r>
      <w:r w:rsidRPr="001A6652">
        <w:rPr>
          <w:rFonts w:cs="Arial"/>
        </w:rPr>
        <w:t xml:space="preserve">E.g. </w:t>
      </w:r>
      <w:r w:rsidRPr="001A6652">
        <w:rPr>
          <w:rFonts w:cs="Arial"/>
        </w:rPr>
        <w:fldChar w:fldCharType="begin"/>
      </w:r>
      <w:r w:rsidR="00D95BD3">
        <w:rPr>
          <w:rFonts w:cs="Arial"/>
        </w:rPr>
        <w:instrText xml:space="preserve"> ADDIN ZOTERO_ITEM CSL_CITATION {"citationID":"as8m17a3h1","properties":{"formattedCitation":"Saha and van Lente, \\uc0\\u8216{}Rethinking \\uc0\\u8220{}Diversity\\uc0\\u8221{} in Publishing\\uc0\\u8217{}; Saha, \\uc0\\u8216{}Diversity Initiatives Don\\uc0\\u8217{}t Work, They Just Make Things Worse\\uc0\\u8217{}; Ramdarshan Bold, \\uc0\\u8216{}The Eight Percent Problem\\uc0\\u8217{}; Ramdarshan Bold, \\uc0\\u8216{}The Thirteen Percent Problem\\uc0\\u8217{}; Kean, \\uc0\\u8216{}In Full Colour: Cultural Diversity in Publishing Today\\uc0\\u8217{}; Kean, \\uc0\\u8216{}Are You Serious? The Emilia Report into the Gender Gap for Authors\\uc0\\u8217{}.","plainCitation":"Saha and van Lente, ‘Rethinking “Diversity” in Publishing’; Saha, ‘Diversity Initiatives Don’t Work, They Just Make Things Worse’; Ramdarshan Bold, ‘The Eight Percent Problem’; Ramdarshan Bold, ‘The Thirteen Percent Problem’; Kean, ‘In Full Colour: Cultural Diversity in Publishing Today’; Kean, ‘Are You Serious? The Emilia Report into the Gender Gap for Authors’.","noteIndex":11},"citationItems":[{"id":2247,"uris":["http://zotero.org/users/4455276/items/7VDBVY73"],"itemData":{"id":2247,"type":"report","event-place":"London","publisher":"Goldsmiths, University of London","publisher-place":"London","title":"Rethinking 'Diversity' in Publishing","author":[{"family":"Saha","given":"Anamik"},{"family":"Lente","given":"Sandra","non-dropping-particle":"van"}],"issued":{"date-parts":[["2020"]]}}},{"id":2472,"uris":["http://zotero.org/users/4455276/items/SGTFWH4R"],"itemData":{"id":2472,"type":"post-weblog","abstract":"by Anamik Saha  edited by Yasmin Gunaratnam Dev Patel might have won the award for Best Supporting Actor (that’s Dev Patel and not Riz Ahmed, Burberry), but when the nominees for the 2017 BAFTA Awa…","container-title":"Media Diversified","language":"en","title":"Diversity initiatives don’t work, they just make things worse: the ideological function of diversity in the cultural industries","title-short":"Diversity initiatives don’t work, they just make things worse","URL":"https://mediadiversified.org/2017/02/16/diversity-initiatives-dont-work-they-just-make-things-worse-the-ideological-function-of-diversity-in-the-cultural-industries/","author":[{"family":"Saha","given":"Anamik"}],"accessed":{"date-parts":[["2022",2,1]]},"issued":{"date-parts":[["2017",2,16]]}}},{"id":551,"uris":["http://zotero.org/users/4455276/items/LGF886QF"],"itemData":{"id":551,"type":"article-journal","abstract":"The conversations surrounding ‘diversity’ in the Anglo-American book publishing industry have increased in recent years, and often centre around the lack of representation of publishing professionals, authors, and characters of colour. This paper contextualises these discussions within British YA, a market that has grown in popularity since 2006. Through an analysis of the corpus of all Young Adult fiction titles published, in the UK, during the 2006–2016 period, this paper will investigate what percentage of the titles were created by authors of colour; to determine whether this number has risen over the years, and to pinpoint any patterns and anomalies that emerge over the time period.","container-title":"Publishing Research Quarterly","DOI":"10.1007/s12109-018-9600-5","ISSN":"1053-8801, 1936-4792","journalAbbreviation":"Pub Res Q","language":"en","page":"1-22","source":"link.springer.com","title":"The Eight Percent Problem: Authors of Colour in the British Young Adult Market (2006–2016)","title-short":"The Eight Percent Problem","author":[{"family":"Ramdarshan Bold","given":"Melanie"}],"issued":{"date-parts":[["2018",7,27]]}}},{"id":2576,"uris":["http://zotero.org/users/4455276/items/QK7652YQ"],"itemData":{"id":2576,"type":"article-journal","abstract":"The underrepresentation of people of colour in books and authorship is a critical issue for the British publishing industry. Recent studies have provided both qualitative evidence and longitudinal, quantitative evidence that demonstrates the extent of the problem, fuelling numerous discussions and initiatives within the book community. This article will extend my previous study on YA authorship in the UK, which found that between 2006-2016 only eight percent of the published authors were people of colour. Findings are presented from an analysis of all YA books published in the UK between 2017 and 2019, contextualised with the data from 2006-2016 and recent developments in the market. This article will present yearly trends from 2006 to show if and how things have changed over the years. Specifically, as with the previous research, this study sought to investigate the percentage of YA books that are written by authors of colour, and the percentage of YA authors that are people of colour and British people of colour.","container-title":"The International Journal of Young Adult Literature","DOI":"10.24877/IJYAL.37","ISSN":"2634-5277","issue":"1","language":"eng","license":"Authors who publish with this journal agree to the following terms:    Authors retain copyright and grant the journal right of first publication with the work simultaneously licensed under a  Creative Commons Attribution License  that allows others to share the work with an acknowledgement of the work's authorship and initial publication in this journal.  Authors are able to enter into separate, additional contractual arrangements for the non-exclusive distribution of the journal's published version of the work (e.g., post it to an institutional repository or publish it in a book), with an acknowledgement of its initial publication in this journal.  Authors are permitted and encouraged to post their work online (e.g., in institutional repositories or on their website) prior to and during the submission process, as it can lead to productive exchanges, as well as earlier and greater citation of published work (See  The Effect of Open Access ).  All third-party images reproduced on this journal are shared under Educational Fair Use. For more information on  Educational Fair Use , please see  this useful checklist prepared by Columbia University Libraries .   All copyright  of third-party content posted here for research purposes belongs to its original owners.  Unless otherwise stated all references to characters and comic art presented on this journal are ©, ® or ™ of their respective owners. No challenge to any owner’s rights is intended or should be inferred.","note":"number: 1\npublisher: Fincham Press","page":"1-35","source":"www.ijyal.ac.uk","title":"The Thirteen Percent Problem: Authors of Colour in the British Young Adult Market, 2017-2019 edition","title-short":"The Thirteen Percent Problem","volume":"2","author":[{"family":"Ramdarshan Bold","given":"Melanie"}],"issued":{"date-parts":[["2021",11,12]]}}},{"id":198,"uris":["http://zotero.org/users/4455276/items/YM8S5Z7X"],"itemData":{"id":198,"type":"chapter","container-title":"Bookseller Publications","event-place":"London","publisher":"Bookseller Publications","publisher-place":"London","title":"In Full Colour: Cultural Diversity in Publishing Today","editor":[{"family":"Kean","given":"Danuta"}],"issued":{"date-parts":[["2004"]]}}},{"id":1722,"uris":["http://zotero.org/users/4455276/items/DCS5BHTP"],"itemData":{"id":1722,"type":"report","title":"Are you serious? The Emilia Report into the gender gap for authors","author":[{"family":"Kean","given":"Danuta"}],"issued":{"date-parts":[["2019",3,18]]}}}],"schema":"https://github.com/citation-style-language/schema/raw/master/csl-citation.json"} </w:instrText>
      </w:r>
      <w:r w:rsidRPr="001A6652">
        <w:rPr>
          <w:rFonts w:cs="Arial"/>
        </w:rPr>
        <w:fldChar w:fldCharType="separate"/>
      </w:r>
      <w:r w:rsidR="00D95BD3" w:rsidRPr="00D95BD3">
        <w:rPr>
          <w:rFonts w:cs="Arial"/>
        </w:rPr>
        <w:t>Saha and van Lente, ‘Rethinking “Diversity” in Publishing’; Saha, ‘Diversity Initiatives Don’t Work, They Just Make Things Worse’; Ramdarshan Bold, ‘The Eight Percent Problem’; Ramdarshan Bold, ‘The Thirteen Percent Problem’; Kean, ‘In Full Colour: Cultural Diversity in Publishing Today’; Kean, ‘Are You Serious? The Emilia Report into the Gender Gap for Authors’.</w:t>
      </w:r>
      <w:r w:rsidRPr="001A6652">
        <w:rPr>
          <w:rFonts w:cs="Arial"/>
        </w:rPr>
        <w:fldChar w:fldCharType="end"/>
      </w:r>
    </w:p>
  </w:footnote>
  <w:footnote w:id="12">
    <w:p w14:paraId="10D62DDC" w14:textId="5AEE4FD4" w:rsidR="00D652CB" w:rsidRPr="00E91D1E" w:rsidRDefault="00D652CB">
      <w:pPr>
        <w:pStyle w:val="FootnoteText"/>
        <w:rPr>
          <w:rFonts w:cs="Arial"/>
        </w:rPr>
      </w:pPr>
      <w:r w:rsidRPr="00715DA1">
        <w:rPr>
          <w:rStyle w:val="FootnoteReference"/>
        </w:rPr>
        <w:footnoteRef/>
      </w:r>
      <w:r w:rsidRPr="001A6652">
        <w:rPr>
          <w:rFonts w:cs="Arial"/>
        </w:rPr>
        <w:t xml:space="preserve"> E.g. </w:t>
      </w:r>
      <w:r w:rsidRPr="001A6652">
        <w:rPr>
          <w:rFonts w:cs="Arial"/>
        </w:rPr>
        <w:fldChar w:fldCharType="begin"/>
      </w:r>
      <w:r w:rsidR="001A6652" w:rsidRPr="001A6652">
        <w:rPr>
          <w:rFonts w:cs="Arial"/>
        </w:rPr>
        <w:instrText xml:space="preserve"> ADDIN ZOTERO_ITEM CSL_CITATION {"citationID":"a2pqqt2damu","properties":{"formattedCitation":"Guyan, \\uc0\\u8216{}BAME Perceptions and Experiences of Scotland\\uc0\\u8217{}s Literary Sector\\uc0\\u8217{}; Guyan, \\uc0\\u8216{}Perceptions and Experiences of Writers of Colour in Scotland\\uc0\\u8217{}s Literary Sector\\uc0\\u8217{}; Evaristo, \\uc0\\u8216{}Bernardine Evaristo\\uc0\\u8217{}; Alacovska, \\uc0\\u8216{}The Gendering Power of Genres: How Female Scandinavian Crime Fiction Writers Experience Professional Authorship\\uc0\\u8217{}; Brook, O\\uc0\\u8217{}Brien, and Taylor, {\\i{}Culture Is Bad for You}; Brook, O\\uc0\\u8217{}Brien, and Taylor, \\uc0\\u8216{}Panic! It\\uc0\\u8217{}s an Arts Emergency. Panic! Social Class, Taste and Inequalities in the Creative Industries\\uc0\\u8217{}.","plainCitation":"Guyan, ‘BAME Perceptions and Experiences of Scotland’s Literary Sector’; Guyan, ‘Perceptions and Experiences of Writers of Colour in Scotland’s Literary Sector’; Evaristo, ‘Bernardine Evaristo’; Alacovska, ‘The Gendering Power of Genres: How Female Scandinavian Crime Fiction Writers Experience Professional Authorship’; Brook, O’Brien, and Taylor, Culture Is Bad for You; Brook, O’Brien, and Taylor, ‘Panic! It’s an Arts Emergency. Panic! Social Class, Taste and Inequalities in the Creative Industries’.","noteIndex":12},"citationItems":[{"id":2097,"uris":["http://zotero.org/users/4455276/items/GUAALE4X"],"itemData":{"id":2097,"type":"report","event-place":"Scotland","page":"41","publisher":"EDI Scotland, SBWN","publisher-place":"Scotland","title":"BAME perceptions and experiences of Scotland's literary sector","URL":"https://scottishbamewritersnetwork.org/wp-content/uploads/2020/07/EDI-Scotland-Final-Report-20200701.pdf","author":[{"family":"Guyan","given":"Kevin"}],"accessed":{"date-parts":[["2020",10,29]]},"issued":{"date-parts":[["2020",7]]}}},{"id":2488,"uris":["http://zotero.org/users/4455276/items/27VS5KIW"],"itemData":{"id":2488,"type":"report","event-place":"Scotland","page":"41","publisher":"EDI Scotland, SBWN","publisher-place":"Scotland","title":"Perceptions and experiences of writers of colour in Scotland's literary sector","URL":"https://scottishbamewritersnetwork.org/wp-content/uploads/2021/05/EDI-Scotland-Perceptions-and-experiences-2021.pdf","author":[{"family":"Guyan","given":"Kevin"}],"accessed":{"date-parts":[["2020",10,29]]},"issued":{"date-parts":[["2021",5]]}}},{"id":1513,"uris":["http://zotero.org/users/4455276/items/QBTBIUNP"],"itemData":{"id":1513,"type":"article-newspaper","abstract":"This is a revolutionary moment for black British writing, argues the author who this week became the first black woman to win the Booker prize. But how can this revolution lead to lasting change?","container-title":"The Guardian","ISSN":"0261-3077","language":"en-GB","section":"Books","source":"www.theguardian.com","title":"Bernardine Evaristo: 'These are unprecedented times for black female writers'","title-short":"Bernardine Evaristo","URL":"https://www.theguardian.com/books/2019/oct/19/bernadine-evaristo-what-a-time-to-be-a-black-british-womxn-writer","author":[{"family":"Evaristo","given":"Bernardine"}],"accessed":{"date-parts":[["2019",10,19]]},"issued":{"date-parts":[["2019",10,19]]}}},{"id":185,"uris":["http://zotero.org/users/4455276/items/G3K4GYWZ"],"itemData":{"id":185,"type":"article-journal","abstract":"This article introduces the notion of genre as an analytical category for the study of gender inequality in creative work. Research on gender and creative labour typically identifies external, systemic and structural causes for gender inequality in media industries. In contrast, I argue that genres, by virtue of their internal, structural and discursive patterning, play a constitutive role in regulating media producers’ gendered professional identities, shaping their struggle for recognition and structuring their economic sustainability. Rather than being merely outcomes of production processes, genres shape gender inequality: They possess gendering power that influences how media producers work, think and feel. Gendering and gendered genre norms that privilege ‘masculine’ over ‘female’ values are so hard-wired in occupational practice and professional codes of conduct that the genre itself becomes a control and boundary ascription mechanism that implicitly governs, sustains and reproduces gendered identity formation, career aspirations and biographical standing. Drawing on in-depth interviews with female producers of Scandinavian crime fiction, globally branded as Nordic Noir, I examine how female writers in Denmark have coped with and experienced the gendering effect of the genre in which they work and to which they are financially beholden. I also tease out the ways in which crime fiction, a masculine genre, causes anxiety of authorship and affects female producers’ identity and boundary work. This focus on the gendering power of genres may potentially help us understand the gender disparities in media industries – disparities that endure despite efforts at policing fair access and equal opportunity.","container-title":"Organization","DOI":"107.171/1773/51035058048146166887766","issue":"3","page":"377-396","title":"The gendering power of genres: How female Scandinavian crime fiction writers experience professional authorship","volume":"24","author":[{"family":"Alacovska","given":"Ana"}],"issued":{"date-parts":[["2017"]]}}},{"id":2421,"uris":["http://zotero.org/users/4455276/items/8FRWFJUP"],"itemData":{"id":2421,"type":"book","event-place":"Manchester","publisher":"Manchester University Press","publisher-place":"Manchester","title":"Culture is bad for you","author":[{"family":"Brook","given":"Orian"},{"family":"O'Brien","given":"David"},{"family":"Taylor","given":"Mark"}],"issued":{"date-parts":[["2020"]]}}},{"id":549,"uris":["http://zotero.org/users/4455276/items/U3BTZ9MV"],"itemData":{"id":549,"type":"report","publisher":"Create London, Arts Emergency","title":"Panic! It's an Arts Emergency. Panic! Social Class, Taste and Inequalities in the Creative Industries","author":[{"family":"Brook","given":"Orian"},{"family":"O'Brien","given":"David"},{"family":"Taylor","given":"Mark"}],"issued":{"date-parts":[["2018",4,16]]}}}],"schema":"https://github.com/citation-style-language/schema/raw/master/csl-citation.json"} </w:instrText>
      </w:r>
      <w:r w:rsidRPr="001A6652">
        <w:rPr>
          <w:rFonts w:cs="Arial"/>
        </w:rPr>
        <w:fldChar w:fldCharType="separate"/>
      </w:r>
      <w:r w:rsidR="001A6652" w:rsidRPr="001A6652">
        <w:rPr>
          <w:rFonts w:cs="Arial"/>
        </w:rPr>
        <w:t>Guyan, ‘BAME Perceptions and Experiences of Scotland’s Literary Sector’; Guyan, ‘Perceptions and Experiences of Writers of Colour in Scotland’s Literary Sector’; Evaristo, ‘Bernardine Evaristo’; Alacovska, ‘The Gendering Power of Genres: How Female Scandinavian Crime Fiction Writers Experience Professional Authorship’; Brook, O’Brien, and Taylor, Culture Is Bad for You; Brook, O’Brien, and Taylor, ‘Panic! It’s an Arts Emergency. Panic! Social Class, Taste and Inequalities in the Creative Industries’.</w:t>
      </w:r>
      <w:r w:rsidRPr="001A6652">
        <w:rPr>
          <w:rFonts w:cs="Arial"/>
        </w:rPr>
        <w:fldChar w:fldCharType="end"/>
      </w:r>
    </w:p>
  </w:footnote>
  <w:footnote w:id="13">
    <w:p w14:paraId="1A20DADA" w14:textId="572BA4C3" w:rsidR="00CF3015" w:rsidRPr="00E91D1E" w:rsidRDefault="00CF3015">
      <w:pPr>
        <w:pStyle w:val="FootnoteText"/>
        <w:rPr>
          <w:rFonts w:cs="Arial"/>
        </w:rPr>
      </w:pPr>
      <w:r w:rsidRPr="00715DA1">
        <w:rPr>
          <w:rStyle w:val="FootnoteReference"/>
        </w:rPr>
        <w:footnoteRef/>
      </w:r>
      <w:r w:rsidRPr="00E91D1E">
        <w:rPr>
          <w:rFonts w:cs="Arial"/>
        </w:rPr>
        <w:t xml:space="preserve"> </w:t>
      </w:r>
      <w:r w:rsidR="00E67B81" w:rsidRPr="00E91D1E">
        <w:rPr>
          <w:rFonts w:cs="Arial"/>
        </w:rPr>
        <w:t xml:space="preserve">#MeToo is a phrase coined by activist Tarana Burke in 2006 which gained widespread visibility when the </w:t>
      </w:r>
      <w:r w:rsidR="00E67B81" w:rsidRPr="00E91D1E">
        <w:rPr>
          <w:rFonts w:cs="Arial"/>
          <w:i/>
          <w:iCs/>
        </w:rPr>
        <w:t>New York Times</w:t>
      </w:r>
      <w:r w:rsidR="00E67B81" w:rsidRPr="00E91D1E">
        <w:rPr>
          <w:rFonts w:cs="Arial"/>
        </w:rPr>
        <w:t xml:space="preserve"> and </w:t>
      </w:r>
      <w:r w:rsidR="00E67B81" w:rsidRPr="00E91D1E">
        <w:rPr>
          <w:rFonts w:cs="Arial"/>
          <w:i/>
          <w:iCs/>
        </w:rPr>
        <w:t>New Yorker</w:t>
      </w:r>
      <w:r w:rsidR="00E67B81" w:rsidRPr="00E91D1E">
        <w:rPr>
          <w:rFonts w:cs="Arial"/>
        </w:rPr>
        <w:t xml:space="preserve"> published an investigation into the sexual misconduct of Harvey Weinstein in October 2017. </w:t>
      </w:r>
      <w:r w:rsidRPr="00E91D1E">
        <w:rPr>
          <w:rFonts w:cs="Arial"/>
        </w:rPr>
        <w:fldChar w:fldCharType="begin"/>
      </w:r>
      <w:r w:rsidR="001A6652">
        <w:rPr>
          <w:rFonts w:cs="Arial"/>
        </w:rPr>
        <w:instrText xml:space="preserve"> ADDIN ZOTERO_ITEM CSL_CITATION {"citationID":"a45qraf096","properties":{"formattedCitation":"Nicolaou and Smith, \\uc0\\u8216{}A #MeToo Timeline To Show How Far We\\uc0\\u8217{}ve Come \\uc0\\u8212{} &amp; How Far We Need To Go\\uc0\\u8217{}.","plainCitation":"Nicolaou and Smith, ‘A #MeToo Timeline To Show How Far We’ve Come — &amp; How Far We Need To Go’.","noteIndex":13},"citationItems":[{"id":2594,"uris":["http://zotero.org/users/4455276/items/7YIAIP5D"],"itemData":{"id":2594,"type":"webpage","abstract":"A walk down memory lane of one of the most culture-shifting years in history.","container-title":"Refinery29","language":"en-GB","title":"A #MeToo Timeline To Show How Far We've Come — &amp; How Far We Need To Go","URL":"https://www.refinery29.com/en-gb/2018/10/213189/me-too-movement-history-timeline-year-weinstein","author":[{"family":"Nicolaou","given":"Elena"},{"family":"Smith","given":"Courtney E."}],"accessed":{"date-parts":[["2022",4,5]]},"issued":{"date-parts":[["2019",10,6]]}}}],"schema":"https://github.com/citation-style-language/schema/raw/master/csl-citation.json"} </w:instrText>
      </w:r>
      <w:r w:rsidRPr="00E91D1E">
        <w:rPr>
          <w:rFonts w:cs="Arial"/>
        </w:rPr>
        <w:fldChar w:fldCharType="separate"/>
      </w:r>
      <w:r w:rsidR="001A6652" w:rsidRPr="001A6652">
        <w:rPr>
          <w:rFonts w:cs="Arial"/>
        </w:rPr>
        <w:t>Nicolaou and Smith, ‘A #MeToo Timeline To Show How Far We’ve Come — &amp; How Far We Need To Go’.</w:t>
      </w:r>
      <w:r w:rsidRPr="00E91D1E">
        <w:rPr>
          <w:rFonts w:cs="Arial"/>
        </w:rPr>
        <w:fldChar w:fldCharType="end"/>
      </w:r>
    </w:p>
  </w:footnote>
  <w:footnote w:id="14">
    <w:p w14:paraId="1831EF0F" w14:textId="2C986DD6" w:rsidR="00703281" w:rsidRPr="00E91D1E" w:rsidRDefault="0070328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{"citationID":"a1cj8hgrnnc","properties":{"formattedCitation":"Bookseller news team, \\uc0\\u8216{}Sexual Harassment Reported by over Half in Trade Survey\\uc0\\u8217{}.","plainCitation":"Bookseller news team, ‘Sexual Harassment Reported by over Half in Trade Survey’.","noteIndex":14},"citationItems":[{"id":2470,"uris":["http://zotero.org/users/4455276/items/4BVU8VLJ"],"itemData":{"id":2470,"type":"article-magazine","container-title":"The Bookseller","title":"Sexual harassment reported by over half in trade survey","URL":"https://www.thebookseller.com/news/sexual-harassment-reported-over-half-trade-survey-671276#","author":[{"family":"Bookseller news team","given":""}],"accessed":{"date-parts":[["2022",1,31]]},"issued":{"date-parts":[["2017",11,10]]}}}],"schema":"https://github.com/citation-style-language/schema/raw/master/csl-citation.json"} </w:instrText>
      </w:r>
      <w:r w:rsidRPr="00E91D1E">
        <w:rPr>
          <w:rFonts w:cs="Arial"/>
        </w:rPr>
        <w:fldChar w:fldCharType="separate"/>
      </w:r>
      <w:r w:rsidR="001A6652" w:rsidRPr="001A6652">
        <w:rPr>
          <w:rFonts w:cs="Arial"/>
        </w:rPr>
        <w:t>Bookseller news team, ‘Sexual Harassment Reported by over Half in Trade Survey’.</w:t>
      </w:r>
      <w:r w:rsidRPr="00E91D1E">
        <w:rPr>
          <w:rFonts w:cs="Arial"/>
        </w:rPr>
        <w:fldChar w:fldCharType="end"/>
      </w:r>
    </w:p>
  </w:footnote>
  <w:footnote w:id="15">
    <w:p w14:paraId="4A5D4212" w14:textId="000D9251"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{"citationID":"a2ke2l3djj8","properties":{"formattedCitation":"Wood, \\uc0\\u8216{}Open Letter Says \\uc0\\u8220{}Transphobia Acceptable in British Book Industry\\uc0\\u8221{}\\uc0\\u8217{}.","plainCitation":"Wood, ‘Open Letter Says “Transphobia Acceptable in British Book Industry”’.","noteIndex":15},"citationItems":[{"id":3273,"uris":["http://zotero.org/users/4455276/items/ILCJLVBG"],"itemData":{"id":3273,"type":"webpage","abstract":"A group of individuals from across the books industry has written an open letter to The Bookseller which has warned &amp;#8220;transphobia is still perfectly acceptable in the British book industry&amp;#8221;, arguing that what is needed is &amp;#8220;quiet statements of acceptance from companies and organisations within our industry&amp;#8221;.","container-title":"The Bookseller","language":"En","title":"Open letter says 'transphobia acceptable in British book industry'","URL":"https://www.thebookseller.com/news/open-letter-says-transphobia-acceptable-british-book-industry-1257896","author":[{"family":"Wood","given":"Heloise"}],"accessed":{"date-parts":[["2025",1,9]]},"issued":{"date-parts":[["2021",5,3]]}}}],"schema":"https://github.com/citation-style-language/schema/raw/master/csl-citation.json"} </w:instrText>
      </w:r>
      <w:r w:rsidRPr="00E91D1E">
        <w:rPr>
          <w:rFonts w:cs="Arial"/>
        </w:rPr>
        <w:fldChar w:fldCharType="separate"/>
      </w:r>
      <w:r w:rsidR="001A6652" w:rsidRPr="001A6652">
        <w:rPr>
          <w:rFonts w:cs="Arial"/>
        </w:rPr>
        <w:t>Wood, ‘Open Letter Says “Transphobia Acceptable in British Book Industry”’.</w:t>
      </w:r>
      <w:r w:rsidRPr="00E91D1E">
        <w:rPr>
          <w:rFonts w:cs="Arial"/>
        </w:rPr>
        <w:fldChar w:fldCharType="end"/>
      </w:r>
    </w:p>
  </w:footnote>
  <w:footnote w:id="16">
    <w:p w14:paraId="4176A9DB" w14:textId="53D56B9D" w:rsidR="00EF49A7" w:rsidRPr="00E91D1E" w:rsidRDefault="00EF49A7" w:rsidP="00EF49A7">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{"citationID":"a2kevjq4iu0","properties":{"formattedCitation":"Caplan, \\uc0\\u8216{}Read the Open Letter Calling out Transphobia in the British Book Industry.\\uc0\\u8217{}","plainCitation":"Caplan, ‘Read the Open Letter Calling out Transphobia in the British Book Industry.’","noteIndex":16},"citationItems":[{"id":3303,"uris":["http://zotero.org/users/4455276/items/495YI8WT"],"itemData":{"id":3303,"type":"webpage","container-title":"LitHub","title":"Read the open letter calling out transphobia in the British book industry.","URL":"https://lithub.com/read-the-open-letter-calling-out-transphobia-in-the-british-book-industry/","author":[{"family":"Caplan","given":"Walker"}],"accessed":{"date-parts":[["2025",3,10]]},"issued":{"date-parts":[["2021",5,5]]}}}],"schema":"https://github.com/citation-style-language/schema/raw/master/csl-citation.json"} </w:instrText>
      </w:r>
      <w:r w:rsidRPr="00E91D1E">
        <w:rPr>
          <w:rFonts w:cs="Arial"/>
        </w:rPr>
        <w:fldChar w:fldCharType="separate"/>
      </w:r>
      <w:r w:rsidR="001A6652" w:rsidRPr="001A6652">
        <w:rPr>
          <w:rFonts w:cs="Arial"/>
        </w:rPr>
        <w:t>Caplan, ‘Read the Open Letter Calling out Transphobia in the British Book Industry.’</w:t>
      </w:r>
      <w:r w:rsidRPr="00E91D1E">
        <w:rPr>
          <w:rFonts w:cs="Arial"/>
        </w:rPr>
        <w:fldChar w:fldCharType="end"/>
      </w:r>
    </w:p>
  </w:footnote>
  <w:footnote w:id="17">
    <w:p w14:paraId="06275F33" w14:textId="0DC82F64" w:rsidR="00E1759E" w:rsidRPr="00E91D1E" w:rsidRDefault="00E1759E">
      <w:pPr>
        <w:pStyle w:val="FootnoteText"/>
        <w:rPr>
          <w:rFonts w:cs="Arial"/>
        </w:rPr>
      </w:pPr>
      <w:r w:rsidRPr="00715DA1">
        <w:rPr>
          <w:rStyle w:val="FootnoteReference"/>
        </w:rPr>
        <w:footnoteRef/>
      </w:r>
      <w:r w:rsidRPr="00E91D1E">
        <w:rPr>
          <w:rFonts w:cs="Arial"/>
        </w:rPr>
        <w:t xml:space="preserve"> E.g. see </w:t>
      </w:r>
      <w:r w:rsidRPr="00E91D1E">
        <w:rPr>
          <w:rFonts w:cs="Arial"/>
        </w:rPr>
        <w:fldChar w:fldCharType="begin"/>
      </w:r>
      <w:r w:rsidR="001A6652">
        <w:rPr>
          <w:rFonts w:cs="Arial"/>
        </w:rPr>
        <w:instrText xml:space="preserve"> ADDIN ZOTERO_ITEM CSL_CITATION {"citationID":"a2n686m1eh8","properties":{"formattedCitation":"Giles, \\uc0\\u8216{}Being Trans in Scottish Literature\\uc0\\u8217{}.","plainCitation":"Giles, ‘Being Trans in Scottish Literature’.","noteIndex":17},"citationItems":[{"id":2263,"uris":["http://zotero.org/users/4455276/items/LIUGG2B9"],"itemData":{"id":2263,"type":"webpage","abstract":"I know of around ten trans people in Scotland who have ever published a book. I know of around five trans people who have a job in…","container-title":"Medium","language":"en","title":"Being Trans in Scottish Literature","URL":"https://harryjosiegiles.medium.com/being-trans-in-scottish-literature-639c33908f88","author":[{"family":"Giles","given":"Harry Josephine"}],"accessed":{"date-parts":[["2021",2,27]]},"issued":{"date-parts":[["2021",2,26]]}}}],"schema":"https://github.com/citation-style-language/schema/raw/master/csl-citation.json"} </w:instrText>
      </w:r>
      <w:r w:rsidRPr="00E91D1E">
        <w:rPr>
          <w:rFonts w:cs="Arial"/>
        </w:rPr>
        <w:fldChar w:fldCharType="separate"/>
      </w:r>
      <w:r w:rsidR="001A6652" w:rsidRPr="001A6652">
        <w:rPr>
          <w:rFonts w:cs="Arial"/>
        </w:rPr>
        <w:t>Giles, ‘Being Trans in Scottish Literature’.</w:t>
      </w:r>
      <w:r w:rsidRPr="00E91D1E">
        <w:rPr>
          <w:rFonts w:cs="Arial"/>
        </w:rPr>
        <w:fldChar w:fldCharType="end"/>
      </w:r>
    </w:p>
  </w:footnote>
  <w:footnote w:id="18">
    <w:p w14:paraId="7FB581AF" w14:textId="56EDE992" w:rsidR="00684D21" w:rsidRPr="00E91D1E" w:rsidRDefault="00684D21">
      <w:pPr>
        <w:pStyle w:val="FootnoteText"/>
        <w:rPr>
          <w:rFonts w:cs="Arial"/>
        </w:rPr>
      </w:pPr>
      <w:r w:rsidRPr="00715DA1">
        <w:rPr>
          <w:rStyle w:val="FootnoteReference"/>
        </w:rPr>
        <w:footnoteRef/>
      </w:r>
      <w:r w:rsidRPr="00E91D1E">
        <w:rPr>
          <w:rFonts w:cs="Arial"/>
        </w:rPr>
        <w:t xml:space="preserve"> </w:t>
      </w:r>
      <w:r w:rsidR="000D4DE0" w:rsidRPr="00E91D1E">
        <w:rPr>
          <w:rFonts w:cs="Arial"/>
        </w:rPr>
        <w:t xml:space="preserve">Stonewall defines non-binary as “An umbrella term for people whose gender identity doesn’t sit comfortably with ‘man’ or ‘woman’. Non-binary identities are varied and can include people who identify with some aspects of binary identities, while others reject them entirely.” </w:t>
      </w:r>
      <w:r w:rsidRPr="00E91D1E">
        <w:rPr>
          <w:rFonts w:cs="Arial"/>
        </w:rPr>
        <w:fldChar w:fldCharType="begin"/>
      </w:r>
      <w:r w:rsidR="001A6652">
        <w:rPr>
          <w:rFonts w:cs="Arial"/>
        </w:rPr>
        <w:instrText xml:space="preserve"> ADDIN ZOTERO_ITEM CSL_CITATION {"citationID":"a4slm67qgh","properties":{"formattedCitation":"\\uc0\\u8216{}List of LGBTQ+ Terms\\uc0\\u8217{}.","plainCitation":"‘List of LGBTQ+ Terms’.","noteIndex":18},"citationItems":[{"id":3275,"uris":["http://zotero.org/users/4455276/items/B9EELAH8"],"itemData":{"id":3275,"type":"webpage","abstract":"Definitions of common LGBTQ+ words and terminology.","container-title":"Stonewall","language":"en-GB","title":"List of LGBTQ+ terms","URL":"https://www.stonewall.org.uk/resources/list-lgbtq-terms","accessed":{"date-parts":[["2025",1,9]]}}}],"schema":"https://github.com/citation-style-language/schema/raw/master/csl-citation.json"} </w:instrText>
      </w:r>
      <w:r w:rsidRPr="00E91D1E">
        <w:rPr>
          <w:rFonts w:cs="Arial"/>
        </w:rPr>
        <w:fldChar w:fldCharType="separate"/>
      </w:r>
      <w:r w:rsidR="001A6652" w:rsidRPr="001A6652">
        <w:rPr>
          <w:rFonts w:cs="Arial"/>
        </w:rPr>
        <w:t>‘List of LGBTQ+ Terms’.</w:t>
      </w:r>
      <w:r w:rsidRPr="00E91D1E">
        <w:rPr>
          <w:rFonts w:cs="Arial"/>
        </w:rPr>
        <w:fldChar w:fldCharType="end"/>
      </w:r>
    </w:p>
  </w:footnote>
  <w:footnote w:id="19">
    <w:p w14:paraId="7F09872B" w14:textId="4C8DE2E8" w:rsidR="00E44A93" w:rsidRPr="00E91D1E" w:rsidRDefault="00E44A93" w:rsidP="00A24363">
      <w:pPr>
        <w:autoSpaceDE w:val="0"/>
        <w:autoSpaceDN w:val="0"/>
        <w:adjustRightInd w:val="0"/>
        <w:spacing w:after="0" w:line="240" w:lineRule="auto"/>
        <w:rPr>
          <w:rFonts w:cs="Arial"/>
          <w:sz w:val="20"/>
          <w:szCs w:val="20"/>
        </w:rPr>
      </w:pPr>
      <w:r w:rsidRPr="00715DA1">
        <w:rPr>
          <w:rStyle w:val="FootnoteReference"/>
        </w:rPr>
        <w:footnoteRef/>
      </w:r>
      <w:r w:rsidRPr="00E91D1E">
        <w:rPr>
          <w:rFonts w:cs="Arial"/>
          <w:sz w:val="20"/>
          <w:szCs w:val="20"/>
        </w:rPr>
        <w:t xml:space="preserve"> </w:t>
      </w:r>
      <w:r w:rsidR="00870D2C" w:rsidRPr="00E91D1E">
        <w:rPr>
          <w:rFonts w:cs="Arial"/>
          <w:sz w:val="20"/>
          <w:szCs w:val="20"/>
        </w:rPr>
        <w:t>I used publicly available information to record a person’s “public gender” or how they wish to be known in relation to their professional work as a writer or critic.</w:t>
      </w:r>
      <w:r w:rsidR="00BC3D9C" w:rsidRPr="00E91D1E">
        <w:rPr>
          <w:rFonts w:cs="Arial"/>
          <w:sz w:val="20"/>
          <w:szCs w:val="20"/>
        </w:rPr>
        <w:t xml:space="preserve"> </w:t>
      </w:r>
      <w:r w:rsidR="00870D2C" w:rsidRPr="00E91D1E">
        <w:rPr>
          <w:rFonts w:cs="Arial"/>
          <w:sz w:val="20"/>
          <w:szCs w:val="20"/>
        </w:rPr>
        <w:t>In practice, this means I often relie</w:t>
      </w:r>
      <w:r w:rsidR="00EF49A7" w:rsidRPr="00E91D1E">
        <w:rPr>
          <w:rFonts w:cs="Arial"/>
          <w:sz w:val="20"/>
          <w:szCs w:val="20"/>
        </w:rPr>
        <w:t>d</w:t>
      </w:r>
      <w:r w:rsidR="00870D2C" w:rsidRPr="00E91D1E">
        <w:rPr>
          <w:rFonts w:cs="Arial"/>
          <w:sz w:val="20"/>
          <w:szCs w:val="20"/>
        </w:rPr>
        <w:t xml:space="preserve"> on pronouns, which are an imperfect tool for recording gender. I write more about this </w:t>
      </w:r>
      <w:r w:rsidR="00726409">
        <w:rPr>
          <w:rFonts w:cs="Arial"/>
          <w:sz w:val="20"/>
          <w:szCs w:val="20"/>
        </w:rPr>
        <w:t>issue</w:t>
      </w:r>
      <w:r w:rsidR="00870D2C" w:rsidRPr="00E91D1E">
        <w:rPr>
          <w:rFonts w:cs="Arial"/>
          <w:sz w:val="20"/>
          <w:szCs w:val="20"/>
        </w:rPr>
        <w:t xml:space="preserve"> in my forthcoming chapter in </w:t>
      </w:r>
      <w:r w:rsidR="00870D2C" w:rsidRPr="00E91D1E">
        <w:rPr>
          <w:rFonts w:cs="Arial"/>
          <w:i/>
          <w:iCs/>
          <w:sz w:val="20"/>
          <w:szCs w:val="20"/>
        </w:rPr>
        <w:t>Research Methods in Publishing and Book Studies</w:t>
      </w:r>
      <w:r w:rsidR="00870D2C" w:rsidRPr="00E91D1E">
        <w:rPr>
          <w:rFonts w:cs="Arial"/>
          <w:sz w:val="20"/>
          <w:szCs w:val="20"/>
        </w:rPr>
        <w:t>, co-authors Rachel Noorda and Corinna Norrick-Rühl. New York: Routledge, scheduled for late 2025.</w:t>
      </w:r>
    </w:p>
  </w:footnote>
  <w:footnote w:id="20">
    <w:p w14:paraId="6EC4EB6F" w14:textId="29FBC9E5" w:rsidR="00715DA1" w:rsidRPr="00715DA1" w:rsidRDefault="00715DA1">
      <w:pPr>
        <w:pStyle w:val="FootnoteText"/>
        <w:rPr>
          <w:lang w:val="de-AT"/>
        </w:rPr>
      </w:pPr>
      <w:r>
        <w:rPr>
          <w:rStyle w:val="FootnoteReference"/>
        </w:rPr>
        <w:footnoteRef/>
      </w:r>
      <w:r>
        <w:t xml:space="preserve"> </w:t>
      </w:r>
      <w:r>
        <w:fldChar w:fldCharType="begin"/>
      </w:r>
      <w:r w:rsidR="008F5D33">
        <w:instrText xml:space="preserve"> ADDIN ZOTERO_ITEM CSL_CITATION {"citationID":"amofurtsti","properties":{"formattedCitation":"\\uc0\\u8216{}Scotland\\uc0\\u8217{}s Census 2022 - Rounded Population Estimates\\uc0\\u8217{}.","plainCitation":"‘Scotland’s Census 2022 - Rounded Population Estimates’.","noteIndex":20},"citationItems":[{"id":3439,"uris":["http://zotero.org/users/4455276/items/FWV3CIJ9"],"itemData":{"id":3439,"type":"webpage","container-title":"Scotland's Census","language":"en","title":"Scotland's Census 2022 - Rounded population estimates","URL":"https://www.scotlandscensus.gov.uk/2022-results/scotlands-census-2022-rounded-population-estimates/","accessed":{"date-parts":[["2025",4,14]]},"issued":{"date-parts":[["2025",2,4]]}}}],"schema":"https://github.com/citation-style-language/schema/raw/master/csl-citation.json"} </w:instrText>
      </w:r>
      <w:r>
        <w:fldChar w:fldCharType="separate"/>
      </w:r>
      <w:r w:rsidR="008F5D33" w:rsidRPr="008F5D33">
        <w:rPr>
          <w:rFonts w:cs="Arial"/>
        </w:rPr>
        <w:t>‘Scotland’s Census 2022 - Rounded Population Estimates’.</w:t>
      </w:r>
      <w:r>
        <w:fldChar w:fldCharType="end"/>
      </w:r>
    </w:p>
  </w:footnote>
  <w:footnote w:id="21">
    <w:p w14:paraId="4D58471C" w14:textId="578BFCDF" w:rsidR="00E44A93" w:rsidRPr="00E91D1E" w:rsidRDefault="00E44A93" w:rsidP="00E44A93">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8F5D33">
        <w:rPr>
          <w:rFonts w:cs="Arial"/>
        </w:rPr>
        <w:instrText xml:space="preserve"> ADDIN ZOTERO_ITEM CSL_CITATION {"citationID":"a702im67gj","properties":{"formattedCitation":"\\uc0\\u8216{}Scotland\\uc0\\u8217{}s Census\\uc0\\u8217{}.","plainCitation":"‘Scotland’s Census’.","noteIndex":21},"citationItems":[{"id":2457,"uris":["http://zotero.org/users/4455276/items/82T4FCR4"],"itemData":{"id":2457,"type":"webpage","abstract":"A quick look at what the 2011 census said about Scotland's population, including age and marital status.","container-title":"Scotland's Census","language":"en","title":"Scotland's Census: Population","title-short":"Scotland's Census","URL":"https://www.scotlandscensus.gov.uk/census-results/at-a-glance/population/","accessed":{"date-parts":[["2021",10,1]]},"issued":{"date-parts":[["2011"]]}}}],"schema":"https://github.com/citation-style-language/schema/raw/master/csl-citation.json"} </w:instrText>
      </w:r>
      <w:r w:rsidRPr="00E91D1E">
        <w:rPr>
          <w:rFonts w:cs="Arial"/>
        </w:rPr>
        <w:fldChar w:fldCharType="separate"/>
      </w:r>
      <w:r w:rsidR="008F5D33" w:rsidRPr="008F5D33">
        <w:rPr>
          <w:rFonts w:cs="Arial"/>
        </w:rPr>
        <w:t>‘Scotland’s Census’.</w:t>
      </w:r>
      <w:r w:rsidRPr="00E91D1E">
        <w:rPr>
          <w:rFonts w:cs="Arial"/>
        </w:rPr>
        <w:fldChar w:fldCharType="end"/>
      </w:r>
    </w:p>
  </w:footnote>
  <w:footnote w:id="22">
    <w:p w14:paraId="1913DBBF" w14:textId="26EB8B09" w:rsidR="00E44A93" w:rsidRPr="00E91D1E" w:rsidRDefault="00E44A93" w:rsidP="00E44A93">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{"citationID":"a8evj74n9g","properties":{"formattedCitation":"\\uc0\\u8216{}Scotland\\uc0\\u8217{}s Census 2022 - Sexual Orientation and Trans Status or History\\uc0\\u8217{}.","plainCitation":"‘Scotland’s Census 2022 - Sexual Orientation and Trans Status or History’.","noteIndex":22},"citationItems":[{"id":3291,"uris":["http://zotero.org/users/4455276/items/Q84A2A48"],"itemData":{"id":3291,"type":"webpage","container-title":"Scotland's Census","language":"en","title":"Scotland’s Census 2022 - Sexual orientation and trans status or history","URL":"https://www.scotlandscensus.gov.uk/2022-results/scotland-s-census-2022-sexual-orientation-and-trans-status-or-history/","accessed":{"date-parts":[["2025",2,25]]},"issued":{"date-parts":[["2024",12,18]]}}}],"schema":"https://github.com/citation-style-language/schema/raw/master/csl-citation.json"} </w:instrText>
      </w:r>
      <w:r w:rsidRPr="00E91D1E">
        <w:rPr>
          <w:rFonts w:cs="Arial"/>
        </w:rPr>
        <w:fldChar w:fldCharType="separate"/>
      </w:r>
      <w:r w:rsidR="001A6652" w:rsidRPr="001A6652">
        <w:rPr>
          <w:rFonts w:cs="Arial"/>
        </w:rPr>
        <w:t>‘Scotland’s Census 2022 - Sexual Orientation and Trans Status or History’.</w:t>
      </w:r>
      <w:r w:rsidRPr="00E91D1E">
        <w:rPr>
          <w:rFonts w:cs="Arial"/>
        </w:rPr>
        <w:fldChar w:fldCharType="end"/>
      </w:r>
    </w:p>
  </w:footnote>
  <w:footnote w:id="23">
    <w:p w14:paraId="5F6701D8" w14:textId="2454E691"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{"citationID":"kL6FhwLC","properties":{"formattedCitation":"Crenshaw, \\uc0\\u8216{}Demarginalizing the Intersection of Race and Sex: A Black Feminist Critique of Antidiscrimination Doctrine, Feminist Theory and Antiracist Politics\\uc0\\u8217{}, 148\\uc0\\u8211{}49.","plainCitation":"Crenshaw, ‘Demarginalizing the Intersection of Race and Sex: A Black Feminist Critique of Antidiscrimination Doctrine, Feminist Theory and Antiracist Politics’, 148–49.","noteIndex":23},"citationItems":[{"id":2593,"uris":["http://zotero.org/users/4455276/items/DQM582ZX"],"itemData":{"id":2593,"type":"article-journal","container-title":"University of Chicago Legal Forum","issue":"1","page":"139-167","title":"Demarginalizing the Intersection of Race and Sex: A Black Feminist Critique of Antidiscrimination Doctrine, Feminist Theory and Antiracist Politics","volume":"1989","author":[{"family":"Crenshaw","given":"Kimberlé"}],"issued":{"date-parts":[["1989"]]}},"locator":"148-149"}],"schema":"https://github.com/citation-style-language/schema/raw/master/csl-citation.json"} </w:instrText>
      </w:r>
      <w:r w:rsidRPr="00E91D1E">
        <w:rPr>
          <w:rFonts w:cs="Arial"/>
        </w:rPr>
        <w:fldChar w:fldCharType="separate"/>
      </w:r>
      <w:r w:rsidR="001A6652" w:rsidRPr="001A6652">
        <w:rPr>
          <w:rFonts w:cs="Arial"/>
        </w:rPr>
        <w:t>Crenshaw, ‘Demarginalizing the Intersection of Race and Sex: A Black Feminist Critique of Antidiscrimination Doctrine, Feminist Theory and Antiracist Politics’, 148–49.</w:t>
      </w:r>
      <w:r w:rsidRPr="00E91D1E">
        <w:rPr>
          <w:rFonts w:cs="Arial"/>
        </w:rPr>
        <w:fldChar w:fldCharType="end"/>
      </w:r>
    </w:p>
  </w:footnote>
  <w:footnote w:id="24">
    <w:p w14:paraId="4DB767B5" w14:textId="01895822"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{"citationID":"fp8qIGUm","properties":{"formattedCitation":"Guyan, \\uc0\\u8216{}BAME Perceptions and Experiences of Scotland\\uc0\\u8217{}s Literary Sector\\uc0\\u8217{}; Guyan, \\uc0\\u8216{}Perceptions and Experiences of Writers of Colour in Scotland\\uc0\\u8217{}s Literary Sector\\uc0\\u8217{}.","plainCitation":"Guyan, ‘BAME Perceptions and Experiences of Scotland’s Literary Sector’; Guyan, ‘Perceptions and Experiences of Writers of Colour in Scotland’s Literary Sector’.","noteIndex":24},"citationItems":[{"id":2097,"uris":["http://zotero.org/users/4455276/items/GUAALE4X"],"itemData":{"id":2097,"type":"report","event-place":"Scotland","page":"41","publisher":"EDI Scotland, SBWN","publisher-place":"Scotland","title":"BAME perceptions and experiences of Scotland's literary sector","URL":"https://scottishbamewritersnetwork.org/wp-content/uploads/2020/07/EDI-Scotland-Final-Report-20200701.pdf","author":[{"family":"Guyan","given":"Kevin"}],"accessed":{"date-parts":[["2020",10,29]]},"issued":{"date-parts":[["2020",7]]}}},{"id":2488,"uris":["http://zotero.org/users/4455276/items/27VS5KIW"],"itemData":{"id":2488,"type":"report","event-place":"Scotland","page":"41","publisher":"EDI Scotland, SBWN","publisher-place":"Scotland","title":"Perceptions and experiences of writers of colour in Scotland's literary sector","URL":"https://scottishbamewritersnetwork.org/wp-content/uploads/2021/05/EDI-Scotland-Perceptions-and-experiences-2021.pdf","author":[{"family":"Guyan","given":"Kevin"}],"accessed":{"date-parts":[["2020",10,29]]},"issued":{"date-parts":[["2021",5]]}}}],"schema":"https://github.com/citation-style-language/schema/raw/master/csl-citation.json"} </w:instrText>
      </w:r>
      <w:r w:rsidRPr="00E91D1E">
        <w:rPr>
          <w:rFonts w:cs="Arial"/>
        </w:rPr>
        <w:fldChar w:fldCharType="separate"/>
      </w:r>
      <w:r w:rsidR="001A6652" w:rsidRPr="001A6652">
        <w:rPr>
          <w:rFonts w:cs="Arial"/>
        </w:rPr>
        <w:t>Guyan, ‘BAME Perceptions and Experiences of Scotland’s Literary Sector’; Guyan, ‘Perceptions and Experiences of Writers of Colour in Scotland’s Literary Sector’.</w:t>
      </w:r>
      <w:r w:rsidRPr="00E91D1E">
        <w:rPr>
          <w:rFonts w:cs="Arial"/>
        </w:rPr>
        <w:fldChar w:fldCharType="end"/>
      </w:r>
    </w:p>
  </w:footnote>
  <w:footnote w:id="25">
    <w:p w14:paraId="64FFD7A5" w14:textId="412C5BBB"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{"citationID":"wKmmLrIo","properties":{"formattedCitation":"Guyan, \\uc0\\u8216{}Perceptions and Experiences of Writers of Colour in Scotland\\uc0\\u8217{}s Literary Sector\\uc0\\u8217{}.","plainCitation":"Guyan, ‘Perceptions and Experiences of Writers of Colour in Scotland’s Literary Sector’.","noteIndex":25},"citationItems":[{"id":2488,"uris":["http://zotero.org/users/4455276/items/27VS5KIW"],"itemData":{"id":2488,"type":"report","event-place":"Scotland","page":"41","publisher":"EDI Scotland, SBWN","publisher-place":"Scotland","title":"Perceptions and experiences of writers of colour in Scotland's literary sector","URL":"https://scottishbamewritersnetwork.org/wp-content/uploads/2021/05/EDI-Scotland-Perceptions-and-experiences-2021.pdf","author":[{"family":"Guyan","given":"Kevin"}],"accessed":{"date-parts":[["2020",10,29]]},"issued":{"date-parts":[["2021",5]]}}}],"schema":"https://github.com/citation-style-language/schema/raw/master/csl-citation.json"} </w:instrText>
      </w:r>
      <w:r w:rsidRPr="00E91D1E">
        <w:rPr>
          <w:rFonts w:cs="Arial"/>
        </w:rPr>
        <w:fldChar w:fldCharType="separate"/>
      </w:r>
      <w:r w:rsidR="001A6652" w:rsidRPr="001A6652">
        <w:rPr>
          <w:rFonts w:cs="Arial"/>
        </w:rPr>
        <w:t>Guyan, ‘Perceptions and Experiences of Writers of Colour in Scotland’s Literary Sector’.</w:t>
      </w:r>
      <w:r w:rsidRPr="00E91D1E">
        <w:rPr>
          <w:rFonts w:cs="Arial"/>
        </w:rPr>
        <w:fldChar w:fldCharType="end"/>
      </w:r>
    </w:p>
  </w:footnote>
  <w:footnote w:id="26">
    <w:p w14:paraId="01B4CDE4" w14:textId="77777777" w:rsidR="00CD0DE6" w:rsidRPr="00E91D1E" w:rsidRDefault="00CD0DE6" w:rsidP="001A6652">
      <w:pPr>
        <w:pStyle w:val="FootnoteText"/>
        <w:rPr>
          <w:rFonts w:cs="Arial"/>
        </w:rPr>
      </w:pPr>
      <w:r w:rsidRPr="00715DA1">
        <w:rPr>
          <w:rStyle w:val="FootnoteReference"/>
        </w:rPr>
        <w:footnoteRef/>
      </w:r>
      <w:r w:rsidRPr="00E91D1E">
        <w:rPr>
          <w:rFonts w:cs="Arial"/>
        </w:rPr>
        <w:t xml:space="preserve"> Other shortlists either </w:t>
      </w:r>
      <w:r>
        <w:rPr>
          <w:rFonts w:cs="Arial"/>
        </w:rPr>
        <w:t>were not</w:t>
      </w:r>
      <w:r w:rsidRPr="00E91D1E">
        <w:rPr>
          <w:rFonts w:cs="Arial"/>
        </w:rPr>
        <w:t xml:space="preserve"> available or lacked sufficient ethnicity data.</w:t>
      </w:r>
    </w:p>
  </w:footnote>
  <w:footnote w:id="27">
    <w:p w14:paraId="104B658B" w14:textId="77777777" w:rsidR="00CD0DE6" w:rsidRPr="00E91D1E" w:rsidRDefault="00CD0DE6" w:rsidP="001A6652">
      <w:pPr>
        <w:pStyle w:val="FootnoteText"/>
        <w:rPr>
          <w:rFonts w:cs="Arial"/>
        </w:rPr>
      </w:pPr>
      <w:r w:rsidRPr="00715DA1">
        <w:rPr>
          <w:rStyle w:val="FootnoteReference"/>
        </w:rPr>
        <w:footnoteRef/>
      </w:r>
      <w:r w:rsidRPr="00E91D1E">
        <w:rPr>
          <w:rFonts w:cs="Arial"/>
        </w:rPr>
        <w:t xml:space="preserve"> These are the categories used in Nielsen BookScan.</w:t>
      </w:r>
    </w:p>
  </w:footnote>
  <w:footnote w:id="28">
    <w:p w14:paraId="37834470" w14:textId="77777777" w:rsidR="00CD0DE6" w:rsidRPr="00E91D1E" w:rsidRDefault="00CD0DE6" w:rsidP="001A6652">
      <w:pPr>
        <w:pStyle w:val="FootnoteText"/>
        <w:rPr>
          <w:rFonts w:cs="Arial"/>
        </w:rPr>
      </w:pPr>
      <w:r w:rsidRPr="00715DA1">
        <w:rPr>
          <w:rStyle w:val="FootnoteReference"/>
        </w:rPr>
        <w:footnoteRef/>
      </w:r>
      <w:r w:rsidRPr="00E91D1E">
        <w:rPr>
          <w:rFonts w:cs="Arial"/>
        </w:rPr>
        <w:t xml:space="preserve"> Analysis of every book-reviewing outlet was not possible within the scope of this work. </w:t>
      </w:r>
    </w:p>
  </w:footnote>
  <w:footnote w:id="29">
    <w:p w14:paraId="41E55D58" w14:textId="77777777" w:rsidR="00CD0DE6" w:rsidRPr="00E91D1E" w:rsidRDefault="00CD0DE6" w:rsidP="001A6652">
      <w:pPr>
        <w:pStyle w:val="FootnoteText"/>
        <w:rPr>
          <w:rFonts w:cs="Arial"/>
        </w:rPr>
      </w:pPr>
      <w:r w:rsidRPr="00715DA1">
        <w:rPr>
          <w:rStyle w:val="FootnoteReference"/>
        </w:rPr>
        <w:footnoteRef/>
      </w:r>
      <w:r w:rsidRPr="00E91D1E">
        <w:rPr>
          <w:rFonts w:cs="Arial"/>
        </w:rPr>
        <w:t xml:space="preserve"> Figure 6 makes clear which reviews by this reviewer, Male Reviewer 01, were short paperback reviews and which were longer feature reviews. Other reviewers’ figures in this graph show paperback reviews and feature reviews together.</w:t>
      </w:r>
    </w:p>
  </w:footnote>
  <w:footnote w:id="30">
    <w:p w14:paraId="173ADEF3" w14:textId="77777777" w:rsidR="00CD0DE6" w:rsidRPr="00E91D1E" w:rsidRDefault="00CD0DE6" w:rsidP="001A6652">
      <w:pPr>
        <w:spacing w:line="240" w:lineRule="auto"/>
        <w:jc w:val="both"/>
        <w:rPr>
          <w:rFonts w:cs="Arial"/>
          <w:color w:val="000000" w:themeColor="text1"/>
          <w:sz w:val="20"/>
          <w:szCs w:val="20"/>
        </w:rPr>
      </w:pPr>
      <w:r w:rsidRPr="00715DA1">
        <w:rPr>
          <w:rStyle w:val="FootnoteReference"/>
        </w:rPr>
        <w:footnoteRef/>
      </w:r>
      <w:r w:rsidRPr="00E91D1E">
        <w:rPr>
          <w:rFonts w:cs="Arial"/>
          <w:sz w:val="20"/>
          <w:szCs w:val="20"/>
        </w:rPr>
        <w:t xml:space="preserve"> </w:t>
      </w:r>
      <w:r>
        <w:rPr>
          <w:rFonts w:cs="Arial"/>
          <w:color w:val="000000" w:themeColor="text1"/>
          <w:sz w:val="20"/>
          <w:szCs w:val="20"/>
        </w:rPr>
        <w:t>EIBF is the</w:t>
      </w:r>
      <w:r w:rsidRPr="00E91D1E">
        <w:rPr>
          <w:rFonts w:cs="Arial"/>
          <w:color w:val="000000" w:themeColor="text1"/>
          <w:sz w:val="20"/>
          <w:szCs w:val="20"/>
        </w:rPr>
        <w:t xml:space="preserve"> largest of these festivals, </w:t>
      </w:r>
      <w:r>
        <w:rPr>
          <w:rFonts w:cs="Arial"/>
          <w:color w:val="000000" w:themeColor="text1"/>
          <w:sz w:val="20"/>
          <w:szCs w:val="20"/>
        </w:rPr>
        <w:t>with an average</w:t>
      </w:r>
      <w:r w:rsidRPr="00E91D1E">
        <w:rPr>
          <w:rFonts w:cs="Arial"/>
          <w:color w:val="000000" w:themeColor="text1"/>
          <w:sz w:val="20"/>
          <w:szCs w:val="20"/>
        </w:rPr>
        <w:t xml:space="preserve"> number of author appearances </w:t>
      </w:r>
      <w:r>
        <w:rPr>
          <w:rFonts w:cs="Arial"/>
          <w:color w:val="000000" w:themeColor="text1"/>
          <w:sz w:val="20"/>
          <w:szCs w:val="20"/>
        </w:rPr>
        <w:t>in the 2017-2019 programmes were 1,036 per year</w:t>
      </w:r>
      <w:r w:rsidRPr="00E91D1E">
        <w:rPr>
          <w:rFonts w:cs="Arial"/>
          <w:color w:val="000000" w:themeColor="text1"/>
          <w:sz w:val="20"/>
          <w:szCs w:val="20"/>
        </w:rPr>
        <w:t xml:space="preserve">. </w:t>
      </w:r>
      <w:r>
        <w:rPr>
          <w:rFonts w:cs="Arial"/>
          <w:color w:val="000000" w:themeColor="text1"/>
          <w:sz w:val="20"/>
          <w:szCs w:val="20"/>
        </w:rPr>
        <w:t>In the same years, for</w:t>
      </w:r>
      <w:r w:rsidRPr="00E91D1E">
        <w:rPr>
          <w:rFonts w:cs="Arial"/>
          <w:color w:val="000000" w:themeColor="text1"/>
          <w:sz w:val="20"/>
          <w:szCs w:val="20"/>
        </w:rPr>
        <w:t xml:space="preserve"> Aye Write, the average number of annual author appearances was 267, and for Bloody Scotland the average number of annual author appearances was 91.</w:t>
      </w:r>
    </w:p>
  </w:footnote>
  <w:footnote w:id="31">
    <w:p w14:paraId="4887CBEC" w14:textId="77777777" w:rsidR="00CD0DE6" w:rsidRPr="00E91D1E" w:rsidRDefault="00CD0DE6" w:rsidP="001A6652">
      <w:pPr>
        <w:pStyle w:val="FootnoteText"/>
        <w:rPr>
          <w:rFonts w:cs="Arial"/>
        </w:rPr>
      </w:pPr>
      <w:r w:rsidRPr="00715DA1">
        <w:rPr>
          <w:rStyle w:val="FootnoteReference"/>
        </w:rPr>
        <w:footnoteRef/>
      </w:r>
      <w:r w:rsidRPr="00E91D1E">
        <w:rPr>
          <w:rFonts w:cs="Arial"/>
        </w:rPr>
        <w:t xml:space="preserve"> Bloody Scotland programmed fewer than 10 solo events in this time period.</w:t>
      </w:r>
    </w:p>
  </w:footnote>
  <w:footnote w:id="32">
    <w:p w14:paraId="1CA6E6B1" w14:textId="4AEAB960" w:rsidR="00CD0DE6" w:rsidRPr="00E91D1E" w:rsidRDefault="00CD0DE6" w:rsidP="001A6652">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D95BD3">
        <w:rPr>
          <w:rFonts w:cs="Arial"/>
        </w:rPr>
        <w:instrText xml:space="preserve"> ADDIN ZOTERO_ITEM CSL_CITATION {"citationID":"x9KSdEYJ","properties":{"formattedCitation":"Harvey and Lamond, \\uc0\\u8216{}Taking the Measure of Gender Disparity in Australian Book Reviewing as a Field, 1985 and 2013\\uc0\\u8217{}, 104.","plainCitation":"Harvey and Lamond, ‘Taking the Measure of Gender Disparity in Australian Book Reviewing as a Field, 1985 and 2013’, 104.","noteIndex":32},"citationItems":[{"id":1948,"uris":["http://zotero.org/users/4455276/items/6DHJPN64"],"itemData":{"id":1948,"type":"article-journal","container-title":"Australian Humanities Review","page":"84-107","title":"Taking the Measure of Gender Disparity in Australian Book Reviewing as a Field, 1985 and 2013","volume":"60","author":[{"family":"Harvey","given":"Melinda"},{"family":"Lamond","given":"Julieanne"}],"issued":{"date-parts":[["2016"]]}},"locator":"104"}],"schema":"https://github.com/citation-style-language/schema/raw/master/csl-citation.json"} </w:instrText>
      </w:r>
      <w:r w:rsidRPr="00E91D1E">
        <w:rPr>
          <w:rFonts w:cs="Arial"/>
        </w:rPr>
        <w:fldChar w:fldCharType="separate"/>
      </w:r>
      <w:r w:rsidRPr="001B6491">
        <w:rPr>
          <w:rFonts w:cs="Arial"/>
        </w:rPr>
        <w:t>Harvey and Lamond, ‘Taking the Measure of Gender Disparity in Australian Book Reviewing as a Field, 1985 and 2013’, 104.</w:t>
      </w:r>
      <w:r w:rsidRPr="00E91D1E">
        <w:rPr>
          <w:rFonts w:cs="Arial"/>
        </w:rPr>
        <w:fldChar w:fldCharType="end"/>
      </w:r>
    </w:p>
  </w:footnote>
  <w:footnote w:id="33">
    <w:p w14:paraId="49ECD27E" w14:textId="77777777" w:rsidR="00CD0DE6" w:rsidRPr="00E91D1E" w:rsidRDefault="00CD0DE6" w:rsidP="001A6652">
      <w:pPr>
        <w:pStyle w:val="FootnoteText"/>
        <w:rPr>
          <w:rFonts w:cs="Arial"/>
        </w:rPr>
      </w:pPr>
      <w:r w:rsidRPr="00715DA1">
        <w:rPr>
          <w:rStyle w:val="FootnoteReference"/>
        </w:rPr>
        <w:footnoteRef/>
      </w:r>
      <w:r w:rsidRPr="00E91D1E">
        <w:rPr>
          <w:rFonts w:cs="Arial"/>
        </w:rPr>
        <w:t xml:space="preserve"> Average across Aye Write and EIBF; Bloody Scotland programmed less than 10 solo events.</w:t>
      </w:r>
    </w:p>
  </w:footnote>
  <w:footnote w:id="34">
    <w:p w14:paraId="1D53FC79" w14:textId="5680888E" w:rsidR="00CD0DE6" w:rsidRPr="00E91D1E" w:rsidRDefault="00CD0DE6" w:rsidP="001A6652">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D95BD3">
        <w:rPr>
          <w:rFonts w:cs="Arial"/>
        </w:rPr>
        <w:instrText xml:space="preserve"> ADDIN ZOTERO_ITEM CSL_CITATION {"citationID":"fb5FTNXY","properties":{"formattedCitation":"Harvey and Lamond, \\uc0\\u8216{}Taking the Measure of Gender Disparity in Australian Book Reviewing as a Field, 1985 and 2013\\uc0\\u8217{}, 104.","plainCitation":"Harvey and Lamond, ‘Taking the Measure of Gender Disparity in Australian Book Reviewing as a Field, 1985 and 2013’, 104.","noteIndex":34},"citationItems":[{"id":1948,"uris":["http://zotero.org/users/4455276/items/6DHJPN64"],"itemData":{"id":1948,"type":"article-journal","container-title":"Australian Humanities Review","page":"84-107","title":"Taking the Measure of Gender Disparity in Australian Book Reviewing as a Field, 1985 and 2013","volume":"60","author":[{"family":"Harvey","given":"Melinda"},{"family":"Lamond","given":"Julieanne"}],"issued":{"date-parts":[["2016"]]}},"locator":"104"}],"schema":"https://github.com/citation-style-language/schema/raw/master/csl-citation.json"} </w:instrText>
      </w:r>
      <w:r w:rsidRPr="00E91D1E">
        <w:rPr>
          <w:rFonts w:cs="Arial"/>
        </w:rPr>
        <w:fldChar w:fldCharType="separate"/>
      </w:r>
      <w:r w:rsidRPr="001B6491">
        <w:rPr>
          <w:rFonts w:cs="Arial"/>
        </w:rPr>
        <w:t>Harvey and Lamond, ‘Taking the Measure of Gender Disparity in Australian Book Reviewing as a Field, 1985 and 2013’, 104.</w:t>
      </w:r>
      <w:r w:rsidRPr="00E91D1E">
        <w:rPr>
          <w:rFonts w:cs="Arial"/>
        </w:rPr>
        <w:fldChar w:fldCharType="end"/>
      </w:r>
    </w:p>
  </w:footnote>
  <w:footnote w:id="35">
    <w:p w14:paraId="6A38C534" w14:textId="1836FF52" w:rsidR="00054339" w:rsidRPr="00054339" w:rsidRDefault="00054339">
      <w:pPr>
        <w:pStyle w:val="FootnoteText"/>
        <w:rPr>
          <w:lang w:val="de-AT"/>
        </w:rPr>
      </w:pPr>
      <w:r w:rsidRPr="00715DA1">
        <w:rPr>
          <w:rStyle w:val="FootnoteReference"/>
        </w:rPr>
        <w:footnoteRef/>
      </w:r>
      <w:r>
        <w:t xml:space="preserve"> </w:t>
      </w:r>
      <w:r>
        <w:rPr>
          <w:lang w:val="de-AT"/>
        </w:rPr>
        <w:t>Names of interviewees have been changed.</w:t>
      </w:r>
    </w:p>
  </w:footnote>
  <w:footnote w:id="36">
    <w:p w14:paraId="512EAA59" w14:textId="5DE62354" w:rsidR="00DA7EC8" w:rsidRPr="00E91D1E" w:rsidRDefault="00DA7EC8" w:rsidP="00DA7EC8">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{"citationID":"a2m2jmc8ni2","properties":{"formattedCitation":"Fuller, Rehberg Sedo, and Squires, \\uc0\\u8216{}Marionettes and Puppeteers? The Relationship between Book Club Readers and Publishers\\uc0\\u8217{}, 191.","plainCitation":"Fuller, Rehberg Sedo, and Squires, ‘Marionettes and Puppeteers? The Relationship between Book Club Readers and Publishers’, 191.","noteIndex":36},"citationItems":[{"id":171,"uris":["http://zotero.org/users/4455276/items/FQ4UYL5X"],"itemData":{"id":171,"type":"chapter","container-title":"Reading Communities from Salons to Cyberspace","event-place":"Basingstoke","page":"181-199","publisher":"Palgrave Macmillan","publisher-place":"Basingstoke","title":"Marionettes and Puppeteers? The Relationship between Book Club Readers and Publishers","author":[{"family":"Fuller","given":"Danielle"},{"family":"Rehberg Sedo","given":"DeNel"},{"family":"Squires","given":"Claire"}],"editor":[{"family":"Rehberg Sedo","given":"DeNel"}],"issued":{"date-parts":[["2011"]]}},"locator":"191"}],"schema":"https://github.com/citation-style-language/schema/raw/master/csl-citation.json"} </w:instrText>
      </w:r>
      <w:r w:rsidRPr="00E91D1E">
        <w:rPr>
          <w:rFonts w:cs="Arial"/>
        </w:rPr>
        <w:fldChar w:fldCharType="separate"/>
      </w:r>
      <w:r w:rsidR="001A6652" w:rsidRPr="001A6652">
        <w:rPr>
          <w:rFonts w:cs="Arial"/>
        </w:rPr>
        <w:t>Fuller, Rehberg Sedo, and Squires, ‘Marionettes and Puppeteers? The Relationship between Book Club Readers and Publishers’, 191.</w:t>
      </w:r>
      <w:r w:rsidRPr="00E91D1E">
        <w:rPr>
          <w:rFonts w:cs="Arial"/>
        </w:rPr>
        <w:fldChar w:fldCharType="end"/>
      </w:r>
    </w:p>
  </w:footnote>
  <w:footnote w:id="37">
    <w:p w14:paraId="0649F3E6" w14:textId="0C154ED3" w:rsidR="00DA7EC8" w:rsidRPr="00E91D1E" w:rsidRDefault="00DA7EC8" w:rsidP="00DA7EC8">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{"citationID":"ReRbYVZN","properties":{"formattedCitation":"Saha and van Lente, \\uc0\\u8216{}Rethinking \\uc0\\u8220{}Diversity\\uc0\\u8221{} in Publishing\\uc0\\u8217{}, 20.","plainCitation":"Saha and van Lente, ‘Rethinking “Diversity” in Publishing’, 20.","noteIndex":37},"citationItems":[{"id":2247,"uris":["http://zotero.org/users/4455276/items/7VDBVY73"],"itemData":{"id":2247,"type":"report","event-place":"London","publisher":"Goldsmiths, University of London","publisher-place":"London","title":"Rethinking 'Diversity' in Publishing","author":[{"family":"Saha","given":"Anamik"},{"family":"Lente","given":"Sandra","non-dropping-particle":"van"}],"issued":{"date-parts":[["2020"]]}},"locator":"20"}],"schema":"https://github.com/citation-style-language/schema/raw/master/csl-citation.json"} </w:instrText>
      </w:r>
      <w:r w:rsidRPr="00E91D1E">
        <w:rPr>
          <w:rFonts w:cs="Arial"/>
        </w:rPr>
        <w:fldChar w:fldCharType="separate"/>
      </w:r>
      <w:r w:rsidR="001A6652" w:rsidRPr="001A6652">
        <w:rPr>
          <w:rFonts w:cs="Arial"/>
        </w:rPr>
        <w:t>Saha and van Lente, ‘Rethinking “Diversity” in Publishing’, 20.</w:t>
      </w:r>
      <w:r w:rsidRPr="00E91D1E">
        <w:rPr>
          <w:rFonts w:cs="Arial"/>
        </w:rPr>
        <w:fldChar w:fldCharType="end"/>
      </w:r>
    </w:p>
  </w:footnote>
  <w:footnote w:id="38">
    <w:p w14:paraId="5E1E70AE" w14:textId="0C5AF4EC" w:rsidR="00DA7EC8" w:rsidRPr="00E91D1E" w:rsidRDefault="00DA7EC8" w:rsidP="00DA7EC8">
      <w:pPr>
        <w:pStyle w:val="FootnoteText"/>
        <w:rPr>
          <w:rFonts w:cs="Arial"/>
        </w:rPr>
      </w:pPr>
      <w:r w:rsidRPr="00715DA1">
        <w:rPr>
          <w:rStyle w:val="FootnoteReference"/>
        </w:rPr>
        <w:footnoteRef/>
      </w:r>
      <w:r w:rsidRPr="00E91D1E">
        <w:rPr>
          <w:rFonts w:cs="Arial"/>
        </w:rPr>
        <w:t xml:space="preserve"> I use this term to describe transgender, intersex and/or non-binary people</w:t>
      </w:r>
      <w:r w:rsidR="00054339">
        <w:rPr>
          <w:rFonts w:cs="Arial"/>
        </w:rPr>
        <w:t>.</w:t>
      </w:r>
    </w:p>
  </w:footnote>
  <w:footnote w:id="39">
    <w:p w14:paraId="50D5B0E8" w14:textId="282231D1" w:rsidR="00DA7EC8" w:rsidRPr="00E91D1E" w:rsidRDefault="00DA7EC8" w:rsidP="00DA7EC8">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{"citationID":"83pKoiC6","properties":{"formattedCitation":"Gossett, Stanley, and Burton, \\uc0\\u8216{}Known Unknowns: An Introduction to Trap Door\\uc0\\u8217{}, xxiii.","plainCitation":"Gossett, Stanley, and Burton, ‘Known Unknowns: An Introduction to Trap Door’, xxiii.","noteIndex":39},"citationItems":[{"id":2802,"uris":["http://zotero.org/users/4455276/items/D5XC7RRM"],"itemData":{"id":2802,"type":"chapter","collection-title":"Critical Anthologies in Art and Culture","container-title":"Trap Door: Trans Cultural Production and the Politics of Visibility","event-place":"Cambridge, Massachusetts &amp; London, England","page":"xv-xxvi","publisher":"The MIT Press, copublished with the New Museum, New York","publisher-place":"Cambridge, Massachusetts &amp; London, England","title":"Known Unknowns: An Introduction to Trap Door","editor":[{"family":"Gossett","given":"Reina"},{"family":"Stanley","given":"Eric A."},{"family":"Burton","given":"Johanna"}],"collection-editor":[{"family":"Burton","given":"Johanna"}],"author":[{"family":"Gossett","given":"Reina"},{"family":"Stanley","given":"Eric A."},{"family":"Burton","given":"Johanna"}],"issued":{"date-parts":[["2017"]]}},"locator":"xxiii","label":"page"}],"schema":"https://github.com/citation-style-language/schema/raw/master/csl-citation.json"} </w:instrText>
      </w:r>
      <w:r w:rsidRPr="00E91D1E">
        <w:rPr>
          <w:rFonts w:cs="Arial"/>
        </w:rPr>
        <w:fldChar w:fldCharType="separate"/>
      </w:r>
      <w:r w:rsidR="001A6652" w:rsidRPr="001A6652">
        <w:rPr>
          <w:rFonts w:cs="Arial"/>
        </w:rPr>
        <w:t>Gossett, Stanley, and Burton, ‘Known Unknowns: An Introduction to Trap Door’, xxiii.</w:t>
      </w:r>
      <w:r w:rsidRPr="00E91D1E">
        <w:rPr>
          <w:rFonts w:cs="Arial"/>
        </w:rPr>
        <w:fldChar w:fldCharType="end"/>
      </w:r>
    </w:p>
  </w:footnote>
  <w:footnote w:id="40">
    <w:p w14:paraId="305E1BE6" w14:textId="3650CEE3" w:rsidR="0047624B" w:rsidRPr="00E91D1E" w:rsidRDefault="0047624B">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{"citationID":"a5tathjc6t","properties":{"formattedCitation":"Flood, \\uc0\\u8216{}#Publishingpaidme\\uc0\\u8217{}; \\uc0\\u8216{}Publishing Paid Me\\uc0\\u8217{}; \\uc0\\u8216{}#PUBLISHINGPAIDME - Google Sheets\\uc0\\u8217{}.","plainCitation":"Flood, ‘#Publishingpaidme’; ‘Publishing Paid Me’; ‘#PUBLISHINGPAIDME - Google Sheets’.","noteIndex":40},"citationItems":[{"id":3297,"uris":["http://zotero.org/users/4455276/items/CS7UJQPA"],"itemData":{"id":3297,"type":"article-newspaper","abstract":"Fantasy author LL McKinney sets off trend for authors to reveal the amounts paid for their work, pointing to stark differences between ethnicities","container-title":"The Guardian","ISSN":"0261-3077","language":"en-GB","section":"Books","source":"The Guardian","title":"#Publishingpaidme: authors share advances to expose racial disparities","title-short":"#Publishingpaidme","URL":"https://www.theguardian.com/books/2020/jun/08/publishingpaidme-authors-share-advances-to-expose-racial-disparities","author":[{"family":"Flood","given":"Alison"}],"accessed":{"date-parts":[["2025",3,7]]},"issued":{"date-parts":[["2020",6,8]]}}},{"id":3299,"uris":["http://zotero.org/users/4455276/items/4C7CBE2W"],"itemData":{"id":3299,"type":"webpage","abstract":"#PublishingPaidMe was created on Twitter by L.L. McKinney and spearheaded by McKinney and Tochi Onyebuchi. You can view the public, anonymous spreadsheet here, brought to you by The Transparency Pr…","container-title":"Melanin in YA","language":"en-US","title":"Publishing Paid Me","URL":"https://melanininya.com/publishing-paid-me/","accessed":{"date-parts":[["2025",3,7]]},"issued":{"date-parts":[["2020",9,13]]}}},{"id":3300,"uris":["http://zotero.org/users/4455276/items/ACWKBKJ8"],"itemData":{"id":3300,"type":"webpage","title":"#PUBLISHINGPAIDME - Google Sheets","URL":"https://docs.google.com/spreadsheets/d/1Xsx6rKJtafa8f_prlYYD3zRxaXYVDaPXbasvt_iA2vA/edit?gid=1798364047#gid=1798364047","accessed":{"date-parts":[["2025",3,7]]}}}],"schema":"https://github.com/citation-style-language/schema/raw/master/csl-citation.json"} </w:instrText>
      </w:r>
      <w:r w:rsidRPr="00E91D1E">
        <w:rPr>
          <w:rFonts w:cs="Arial"/>
        </w:rPr>
        <w:fldChar w:fldCharType="separate"/>
      </w:r>
      <w:r w:rsidR="001A6652" w:rsidRPr="001A6652">
        <w:rPr>
          <w:rFonts w:cs="Arial"/>
        </w:rPr>
        <w:t>Flood, ‘#Publishingpaidme’; ‘Publishing Paid Me’; ‘#PUBLISHINGPAIDME - Google Sheets’.</w:t>
      </w:r>
      <w:r w:rsidRPr="00E91D1E">
        <w:rPr>
          <w:rFonts w:cs="Arial"/>
        </w:rPr>
        <w:fldChar w:fldCharType="end"/>
      </w:r>
    </w:p>
  </w:footnote>
  <w:footnote w:id="41">
    <w:p w14:paraId="6348AD18" w14:textId="5D67A8C4"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{"citationID":"sRa16pOS","properties":{"formattedCitation":"\\uc0\\u8216{}Bookcareers Salary Survey 2021 - RESULTS\\uc0\\u8217{}.","plainCitation":"‘Bookcareers Salary Survey 2021 - RESULTS’.","noteIndex":41},"citationItems":[{"id":2994,"uris":["http://zotero.org/users/4455276/items/24F8IGVZ"],"itemData":{"id":2994,"type":"post-weblog","abstract":"These are the headline results from the bookcareers.com Salary Survey 2021 The full report is now available to purchase. Click here. All statistics are taken from the bookcareers.com Salary Survey […]","container-title":"Bookcareers","language":"en-GB","title":"bookcareers Salary Survey 2021 - RESULTS","URL":"https://www.bookcareers.com/bookcareers-salary-survey-2021-results/","accessed":{"date-parts":[["2024",4,9]]}}}],"schema":"https://github.com/citation-style-language/schema/raw/master/csl-citation.json"} </w:instrText>
      </w:r>
      <w:r w:rsidRPr="00E91D1E">
        <w:rPr>
          <w:rFonts w:cs="Arial"/>
        </w:rPr>
        <w:fldChar w:fldCharType="separate"/>
      </w:r>
      <w:r w:rsidR="001A6652" w:rsidRPr="001A6652">
        <w:rPr>
          <w:rFonts w:cs="Arial"/>
        </w:rPr>
        <w:t>‘Bookcareers Salary Survey 2021 - RESULTS’.</w:t>
      </w:r>
      <w:r w:rsidRPr="00E91D1E">
        <w:rPr>
          <w:rFonts w:cs="Arial"/>
        </w:rPr>
        <w:fldChar w:fldCharType="end"/>
      </w:r>
    </w:p>
  </w:footnote>
  <w:footnote w:id="42">
    <w:p w14:paraId="527F6836" w14:textId="43313A7B" w:rsidR="00703281" w:rsidRPr="00E91D1E" w:rsidRDefault="0070328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{"citationID":"affkf0dm0j","properties":{"formattedCitation":"\\uc0\\u8216{}Bookcareers Salary Survey 2021 - RESULTS\\uc0\\u8217{}.","plainCitation":"‘Bookcareers Salary Survey 2021 - RESULTS’.","noteIndex":42},"citationItems":[{"id":2994,"uris":["http://zotero.org/users/4455276/items/24F8IGVZ"],"itemData":{"id":2994,"type":"post-weblog","abstract":"These are the headline results from the bookcareers.com Salary Survey 2021 The full report is now available to purchase. Click here. All statistics are taken from the bookcareers.com Salary Survey […]","container-title":"Bookcareers","language":"en-GB","title":"bookcareers Salary Survey 2021 - RESULTS","URL":"https://www.bookcareers.com/bookcareers-salary-survey-2021-results/","accessed":{"date-parts":[["2024",4,9]]}}}],"schema":"https://github.com/citation-style-language/schema/raw/master/csl-citation.json"} </w:instrText>
      </w:r>
      <w:r w:rsidRPr="00E91D1E">
        <w:rPr>
          <w:rFonts w:cs="Arial"/>
        </w:rPr>
        <w:fldChar w:fldCharType="separate"/>
      </w:r>
      <w:r w:rsidR="001A6652" w:rsidRPr="001A6652">
        <w:rPr>
          <w:rFonts w:cs="Arial"/>
        </w:rPr>
        <w:t>‘Bookcareers Salary Survey 2021 - RESULTS’.</w:t>
      </w:r>
      <w:r w:rsidRPr="00E91D1E">
        <w:rPr>
          <w:rFonts w:cs="Arial"/>
        </w:rPr>
        <w:fldChar w:fldCharType="end"/>
      </w:r>
    </w:p>
  </w:footnote>
  <w:footnote w:id="43">
    <w:p w14:paraId="1C2181C7" w14:textId="32BD81E5" w:rsidR="00266028" w:rsidRPr="00FF34F4" w:rsidRDefault="00266028" w:rsidP="00FF34F4">
      <w:pPr>
        <w:spacing w:after="0" w:line="240" w:lineRule="auto"/>
        <w:rPr>
          <w:rFonts w:ascii="Times New Roman" w:hAnsi="Times New Roman"/>
          <w:sz w:val="20"/>
          <w:szCs w:val="20"/>
        </w:rPr>
      </w:pPr>
      <w:r w:rsidRPr="00715DA1">
        <w:rPr>
          <w:rStyle w:val="FootnoteReference"/>
        </w:rPr>
        <w:footnoteRef/>
      </w:r>
      <w:r w:rsidR="00FF34F4" w:rsidRPr="00FF34F4">
        <w:rPr>
          <w:rFonts w:cs="Arial"/>
          <w:sz w:val="20"/>
          <w:szCs w:val="20"/>
        </w:rPr>
        <w:t xml:space="preserve"> For </w:t>
      </w:r>
      <w:r w:rsidR="00FF34F4" w:rsidRPr="00FF34F4">
        <w:rPr>
          <w:rFonts w:cs="Arial"/>
          <w:sz w:val="20"/>
          <w:szCs w:val="20"/>
          <w:lang w:val="de-AT"/>
        </w:rPr>
        <w:t>more on this, see, for example:</w:t>
      </w:r>
      <w:r w:rsidRPr="00FF34F4">
        <w:rPr>
          <w:rFonts w:cs="Arial"/>
          <w:sz w:val="20"/>
          <w:szCs w:val="20"/>
          <w:lang w:val="de-AT"/>
        </w:rPr>
        <w:t xml:space="preserve"> </w:t>
      </w:r>
      <w:r w:rsidR="00FF34F4" w:rsidRPr="00FF34F4">
        <w:rPr>
          <w:rFonts w:eastAsia="Times New Roman" w:cs="Arial"/>
          <w:sz w:val="20"/>
          <w:szCs w:val="20"/>
          <w:lang w:eastAsia="en-GB"/>
        </w:rPr>
        <w:t xml:space="preserve">Berdahl, Jennifer, and Barnini Bhattacharyya, ‘Four Ways Forward in Studing Sex-Based Harassment’, </w:t>
      </w:r>
      <w:r w:rsidR="00FF34F4" w:rsidRPr="00FF34F4">
        <w:rPr>
          <w:rFonts w:eastAsia="Times New Roman" w:cs="Arial"/>
          <w:i/>
          <w:iCs/>
          <w:sz w:val="20"/>
          <w:szCs w:val="20"/>
          <w:lang w:eastAsia="en-GB"/>
        </w:rPr>
        <w:t>Equality, Diversity and Inclusion</w:t>
      </w:r>
      <w:r w:rsidR="00FF34F4" w:rsidRPr="00FF34F4">
        <w:rPr>
          <w:rFonts w:eastAsia="Times New Roman" w:cs="Arial"/>
          <w:sz w:val="20"/>
          <w:szCs w:val="20"/>
          <w:lang w:eastAsia="en-GB"/>
        </w:rPr>
        <w:t xml:space="preserve">, 40.5 (2021), pp. 477–92. </w:t>
      </w:r>
      <w:r w:rsidR="00FF34F4" w:rsidRPr="00FF34F4">
        <w:rPr>
          <w:sz w:val="20"/>
          <w:szCs w:val="20"/>
        </w:rPr>
        <w:t xml:space="preserve">Boyle, Karen, </w:t>
      </w:r>
      <w:r w:rsidR="00FF34F4" w:rsidRPr="00FF34F4">
        <w:rPr>
          <w:i/>
          <w:iCs/>
          <w:sz w:val="20"/>
          <w:szCs w:val="20"/>
        </w:rPr>
        <w:t>#MeToo and Feminism</w:t>
      </w:r>
      <w:r w:rsidR="00FF34F4" w:rsidRPr="00FF34F4">
        <w:rPr>
          <w:sz w:val="20"/>
          <w:szCs w:val="20"/>
        </w:rPr>
        <w:t>, 2nd edn (Palgrave Macmillan, 2024), doi:</w:t>
      </w:r>
      <w:hyperlink r:id="rId1" w:history="1">
        <w:r w:rsidR="00FF34F4" w:rsidRPr="00FF34F4">
          <w:rPr>
            <w:rStyle w:val="Hyperlink"/>
            <w:sz w:val="20"/>
            <w:szCs w:val="20"/>
          </w:rPr>
          <w:t>10.1007/978-3-031-67314-6_3</w:t>
        </w:r>
      </w:hyperlink>
      <w:r w:rsidR="00FF34F4">
        <w:rPr>
          <w:rFonts w:ascii="Times New Roman" w:hAnsi="Times New Roman"/>
          <w:sz w:val="20"/>
          <w:szCs w:val="20"/>
        </w:rPr>
        <w:t xml:space="preserve">. </w:t>
      </w:r>
      <w:r w:rsidR="00FF34F4" w:rsidRPr="00FF34F4">
        <w:rPr>
          <w:rFonts w:eastAsia="Times New Roman" w:cs="Arial"/>
          <w:sz w:val="20"/>
          <w:szCs w:val="20"/>
          <w:lang w:eastAsia="en-GB"/>
        </w:rPr>
        <w:t>Scholars write that s</w:t>
      </w:r>
      <w:r w:rsidRPr="00FF34F4">
        <w:rPr>
          <w:rFonts w:cs="Arial"/>
          <w:color w:val="000000" w:themeColor="text1"/>
          <w:sz w:val="20"/>
          <w:szCs w:val="20"/>
        </w:rPr>
        <w:t>exual harassment including gender harassment is “not about sex but about maintaining power and social status on the part of the harasser</w:t>
      </w:r>
      <w:r w:rsidR="00FF34F4" w:rsidRPr="00FF34F4">
        <w:rPr>
          <w:rFonts w:cs="Arial"/>
          <w:color w:val="000000" w:themeColor="text1"/>
          <w:sz w:val="20"/>
          <w:szCs w:val="20"/>
        </w:rPr>
        <w:t>”</w:t>
      </w:r>
      <w:r w:rsidR="00FF34F4">
        <w:rPr>
          <w:rFonts w:cs="Arial"/>
          <w:color w:val="000000" w:themeColor="text1"/>
          <w:sz w:val="20"/>
          <w:szCs w:val="20"/>
        </w:rPr>
        <w:t xml:space="preserve"> Berdahl &amp; Raver 2011 paraphrased in</w:t>
      </w:r>
      <w:r w:rsidR="00FF34F4" w:rsidRPr="00FF34F4">
        <w:rPr>
          <w:rFonts w:cs="Arial"/>
          <w:color w:val="000000" w:themeColor="text1"/>
          <w:sz w:val="20"/>
          <w:szCs w:val="20"/>
        </w:rPr>
        <w:t xml:space="preserve"> </w:t>
      </w:r>
      <w:r w:rsidR="00FF34F4" w:rsidRPr="00FF34F4">
        <w:rPr>
          <w:sz w:val="20"/>
          <w:szCs w:val="20"/>
        </w:rPr>
        <w:t xml:space="preserve">Hamilton, Kelly M., Megan J. Snoeyink, and Larry R. Martinez, ‘Blurred Lines: How to Approach Sexual Harassment Training When Sexual Harassment Isn’t Always about Sex’, </w:t>
      </w:r>
      <w:r w:rsidR="00FF34F4" w:rsidRPr="00FF34F4">
        <w:rPr>
          <w:i/>
          <w:iCs/>
          <w:sz w:val="20"/>
          <w:szCs w:val="20"/>
        </w:rPr>
        <w:t>Industrial and Organizational Psychology</w:t>
      </w:r>
      <w:r w:rsidR="00FF34F4" w:rsidRPr="00FF34F4">
        <w:rPr>
          <w:sz w:val="20"/>
          <w:szCs w:val="20"/>
        </w:rPr>
        <w:t>, 12.3 (2019), pp. 345–49</w:t>
      </w:r>
      <w:r w:rsidR="00FF34F4">
        <w:rPr>
          <w:sz w:val="20"/>
          <w:szCs w:val="20"/>
        </w:rPr>
        <w:t xml:space="preserve"> (p. 345)</w:t>
      </w:r>
      <w:r w:rsidR="00FF34F4" w:rsidRPr="00FF34F4">
        <w:rPr>
          <w:sz w:val="20"/>
          <w:szCs w:val="20"/>
        </w:rPr>
        <w:t>, doi:</w:t>
      </w:r>
      <w:hyperlink r:id="rId2" w:history="1">
        <w:r w:rsidR="00FF34F4" w:rsidRPr="00FF34F4">
          <w:rPr>
            <w:rStyle w:val="Hyperlink"/>
            <w:sz w:val="20"/>
            <w:szCs w:val="20"/>
          </w:rPr>
          <w:t>10.1017/iop.2019.64</w:t>
        </w:r>
      </w:hyperlink>
    </w:p>
  </w:footnote>
  <w:footnote w:id="44">
    <w:p w14:paraId="6D39CE26" w14:textId="3822E123" w:rsidR="00703281" w:rsidRPr="00E91D1E" w:rsidRDefault="0070328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{"citationID":"a2dlh7on155","properties":{"formattedCitation":"Hochschild 171, quoted in Parnell, Dane, and Weber, \\uc0\\u8216{}Author Care and the Invisibility of Affective Labour\\uc0\\u8217{}, 656.","plainCitation":"Hochschild 171, quoted in Parnell, Dane, and Weber, ‘Author Care and the Invisibility of Affective Labour’, 656.","noteIndex":44},"citationItems":[{"id":2230,"uris":["http://zotero.org/users/4455276/items/6TL8N52T"],"itemData":{"id":2230,"type":"article-journal","abstract":"Publicists perform an important but ill-understood role within the publishing industry. Surveys of the Australian and UK publishing industries reveal those working in marketing and publicity are at higher risk of sexual harassment (Books + Publishing in Over half of book-industry survey respondents report sexual harassment, Books + Publishing, 2017; The Bookseller in Sexual harassment reported by over half in trade survey, The Bookseller, 2017). There is little clarity about the role of the publicist or why they are at greater risk of workplace harassment. In this article, we synthesise existing scholarly and industry understandings of the publicist role and the labour they perform. This examination of the literature reveals an absence of critical engagement with publicists’ work. We explore the affective labour that constitutes their roles and argue that the work they do conferring visibility and prestige onto authors and publishers is a major contributing factor in rendering their role invisible in the industry. A better understanding of publicists’ role in book publishing is vital, but first this research aims to make the publicist visible.","container-title":"Publishing Research Quarterly","DOI":"10.1007/s12109-020-09763-9","ISSN":"1936-4792","issue":"4","journalAbbreviation":"Pub Res Q","language":"en","page":"648-659","source":"Springer Link","title":"Author Care and the Invisibility of Affective Labour: Publicists’ Role in Book Publishing","title-short":"Author Care and the Invisibility of Affective Labour","volume":"36","author":[{"family":"Parnell","given":"Claire"},{"family":"Dane","given":"Alexandra"},{"family":"Weber","given":"Millicent"}],"issued":{"date-parts":[["2020",12,1]]}},"locator":"656","label":"page","prefix":"Hochschild 171, quoted in"}],"schema":"https://github.com/citation-style-language/schema/raw/master/csl-citation.json"} </w:instrText>
      </w:r>
      <w:r w:rsidRPr="00E91D1E">
        <w:rPr>
          <w:rFonts w:cs="Arial"/>
        </w:rPr>
        <w:fldChar w:fldCharType="separate"/>
      </w:r>
      <w:r w:rsidR="001A6652" w:rsidRPr="001A6652">
        <w:rPr>
          <w:rFonts w:cs="Arial"/>
        </w:rPr>
        <w:t>Hochschild 171, quoted in Parnell, Dane, and Weber, ‘Author Care and the Invisibility of Affective Labour’, 656.</w:t>
      </w:r>
      <w:r w:rsidRPr="00E91D1E">
        <w:rPr>
          <w:rFonts w:cs="Arial"/>
        </w:rPr>
        <w:fldChar w:fldCharType="end"/>
      </w:r>
    </w:p>
  </w:footnote>
  <w:footnote w:id="45">
    <w:p w14:paraId="25D9C716" w14:textId="131AEFF8"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{"citationID":"appontkooc","properties":{"formattedCitation":"Parnell, Dane, and Weber, 656.","plainCitation":"Parnell, Dane, and Weber, 656.","noteIndex":45},"citationItems":[{"id":2230,"uris":["http://zotero.org/users/4455276/items/6TL8N52T"],"itemData":{"id":2230,"type":"article-journal","abstract":"Publicists perform an important but ill-understood role within the publishing industry. Surveys of the Australian and UK publishing industries reveal those working in marketing and publicity are at higher risk of sexual harassment (Books + Publishing in Over half of book-industry survey respondents report sexual harassment, Books + Publishing, 2017; The Bookseller in Sexual harassment reported by over half in trade survey, The Bookseller, 2017). There is little clarity about the role of the publicist or why they are at greater risk of workplace harassment. In this article, we synthesise existing scholarly and industry understandings of the publicist role and the labour they perform. This examination of the literature reveals an absence of critical engagement with publicists’ work. We explore the affective labour that constitutes their roles and argue that the work they do conferring visibility and prestige onto authors and publishers is a major contributing factor in rendering their role invisible in the industry. A better understanding of publicists’ role in book publishing is vital, but first this research aims to make the publicist visible.","container-title":"Publishing Research Quarterly","DOI":"10.1007/s12109-020-09763-9","ISSN":"1936-4792","issue":"4","journalAbbreviation":"Pub Res Q","language":"en","page":"648-659","source":"Springer Link","title":"Author Care and the Invisibility of Affective Labour: Publicists’ Role in Book Publishing","title-short":"Author Care and the Invisibility of Affective Labour","volume":"36","author":[{"family":"Parnell","given":"Claire"},{"family":"Dane","given":"Alexandra"},{"family":"Weber","given":"Millicent"}],"issued":{"date-parts":[["2020",12,1]]}},"locator":"656"}],"schema":"https://github.com/citation-style-language/schema/raw/master/csl-citation.json"} </w:instrText>
      </w:r>
      <w:r w:rsidRPr="00E91D1E">
        <w:rPr>
          <w:rFonts w:cs="Arial"/>
        </w:rPr>
        <w:fldChar w:fldCharType="separate"/>
      </w:r>
      <w:r w:rsidR="001A6652">
        <w:rPr>
          <w:rFonts w:cs="Arial"/>
        </w:rPr>
        <w:t>Parnell, Dane, and Weber, 656.</w:t>
      </w:r>
      <w:r w:rsidRPr="00E91D1E">
        <w:rPr>
          <w:rFonts w:cs="Arial"/>
        </w:rPr>
        <w:fldChar w:fldCharType="end"/>
      </w:r>
    </w:p>
  </w:footnote>
  <w:footnote w:id="46">
    <w:p w14:paraId="2DEE08E7" w14:textId="40A1FE20"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{"citationID":"a2fs4f6uvv6","properties":{"formattedCitation":"Hochschild, {\\i{}The Managed Heart: Commercialization of Human Feeling}, 172.","plainCitation":"Hochschild, The Managed Heart: Commercialization of Human Feeling, 172.","noteIndex":46},"citationItems":[{"id":2909,"uris":["http://zotero.org/users/4455276/items/ZHGZKSF8"],"itemData":{"id":2909,"type":"book","event-place":"Berkely, Los Angeles, London","publisher":"University of California Press","publisher-place":"Berkely, Los Angeles, London","title":"The Managed Heart: Commercialization of Human Feeling","author":[{"family":"Hochschild","given":"Arlie Russell"}],"issued":{"date-parts":[["1983"]]}},"locator":"172","label":"page"}],"schema":"https://github.com/citation-style-language/schema/raw/master/csl-citation.json"} </w:instrText>
      </w:r>
      <w:r w:rsidRPr="00E91D1E">
        <w:rPr>
          <w:rFonts w:cs="Arial"/>
        </w:rPr>
        <w:fldChar w:fldCharType="separate"/>
      </w:r>
      <w:r w:rsidR="001A6652" w:rsidRPr="001A6652">
        <w:rPr>
          <w:rFonts w:cs="Arial"/>
        </w:rPr>
        <w:t xml:space="preserve">Hochschild, </w:t>
      </w:r>
      <w:r w:rsidR="001A6652" w:rsidRPr="001A6652">
        <w:rPr>
          <w:rFonts w:cs="Arial"/>
          <w:i/>
          <w:iCs/>
        </w:rPr>
        <w:t>The Managed Heart: Commercialization of Human Feeling</w:t>
      </w:r>
      <w:r w:rsidR="001A6652" w:rsidRPr="001A6652">
        <w:rPr>
          <w:rFonts w:cs="Arial"/>
        </w:rPr>
        <w:t>, 172.</w:t>
      </w:r>
      <w:r w:rsidRPr="00E91D1E">
        <w:rPr>
          <w:rFonts w:cs="Arial"/>
        </w:rPr>
        <w:fldChar w:fldCharType="end"/>
      </w:r>
    </w:p>
  </w:footnote>
  <w:footnote w:id="47">
    <w:p w14:paraId="164B9CBF" w14:textId="4471C1F4"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{"citationID":"a1hnmh0otpp","properties":{"formattedCitation":"Squires and Driscoll, \\uc0\\u8216{}The Sleaze-O-Meter\\uc0\\u8217{}.","plainCitation":"Squires and Driscoll, ‘The Sleaze-O-Meter’.","noteIndex":47},"citationItems":[{"id":408,"uris":["http://zotero.org/users/4455276/items/JQI83B8J"],"itemData":{"id":408,"type":"webpage","abstract":"This article argues that, as a discipline and creative industry, publishing needs to be more effectively positioned and discussed in relation to the Cultural Economy and its wider industries. The publishing industry’s role within the Cultural Economy may seem obvious, but it needs to be clearly arti","container-title":"Interscript","language":"en-US","title":"The Sleaze-O-Meter: Sexual Harassment in the Publishing Industry","title-short":"The Sleaze-O-Meter","URL":"https://www.interscriptjournal.com/online-magazine/sleaze-o-meter","author":[{"family":"Squires","given":"Claire"},{"family":"Driscoll","given":"Beth"}],"accessed":{"date-parts":[["2018",3,8]]},"issued":{"date-parts":[["2018",8,3]]}}}],"schema":"https://github.com/citation-style-language/schema/raw/master/csl-citation.json"} </w:instrText>
      </w:r>
      <w:r w:rsidRPr="00E91D1E">
        <w:rPr>
          <w:rFonts w:cs="Arial"/>
        </w:rPr>
        <w:fldChar w:fldCharType="separate"/>
      </w:r>
      <w:r w:rsidR="001A6652" w:rsidRPr="001A6652">
        <w:rPr>
          <w:rFonts w:cs="Arial"/>
        </w:rPr>
        <w:t>Squires and Driscoll, ‘The Sleaze-O-Meter’.</w:t>
      </w:r>
      <w:r w:rsidRPr="00E91D1E">
        <w:rPr>
          <w:rFonts w:cs="Arial"/>
        </w:rPr>
        <w:fldChar w:fldCharType="end"/>
      </w:r>
    </w:p>
  </w:footnote>
  <w:footnote w:id="48">
    <w:p w14:paraId="40D67F89" w14:textId="2B140039"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{"citationID":"a1HcOov2","properties":{"formattedCitation":"\\uc0\\u8216{}Over Half of Book-Industry Survey Respondents Report Sexual Harassment\\uc0\\u8217{}.","plainCitation":"‘Over Half of Book-Industry Survey Respondents Report Sexual Harassment’.","noteIndex":48},"citationItems":[{"id":2468,"uris":["http://zotero.org/users/4455276/items/F6Z9WJ5J"],"itemData":{"id":2468,"type":"article-magazine","abstract":"Purchase a subscription to view job ads and other premium content on Books+Publishing.","container-title":"Books + Publishing","language":"en-AU","title":"Over half of book-industry survey respondents report sexual harassment","URL":"https://www.booksandpublishing.com.au/articles/2017/12/12/99463/over-half-of-book-industry-survey-respondents-report-sexual-harassment/","accessed":{"date-parts":[["2022",1,31]]},"issued":{"date-parts":[["2017",12,12]]}}}],"schema":"https://github.com/citation-style-language/schema/raw/master/csl-citation.json"} </w:instrText>
      </w:r>
      <w:r w:rsidRPr="00E91D1E">
        <w:rPr>
          <w:rFonts w:cs="Arial"/>
        </w:rPr>
        <w:fldChar w:fldCharType="separate"/>
      </w:r>
      <w:r w:rsidR="001A6652" w:rsidRPr="001A6652">
        <w:rPr>
          <w:rFonts w:cs="Arial"/>
        </w:rPr>
        <w:t>‘Over Half of Book-Industry Survey Respondents Report Sexual Harassment’.</w:t>
      </w:r>
      <w:r w:rsidRPr="00E91D1E">
        <w:rPr>
          <w:rFonts w:cs="Arial"/>
        </w:rPr>
        <w:fldChar w:fldCharType="end"/>
      </w:r>
    </w:p>
  </w:footnote>
  <w:footnote w:id="49">
    <w:p w14:paraId="645D7E57" w14:textId="58EA480E"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{"citationID":"a28eesq7c2p","properties":{"formattedCitation":"Bookseller news team, \\uc0\\u8216{}Sexual Harassment Reported by over Half in Trade Survey\\uc0\\u8217{}.","plainCitation":"Bookseller news team, ‘Sexual Harassment Reported by over Half in Trade Survey’.","noteIndex":49},"citationItems":[{"id":2470,"uris":["http://zotero.org/users/4455276/items/4BVU8VLJ"],"itemData":{"id":2470,"type":"article-magazine","container-title":"The Bookseller","title":"Sexual harassment reported by over half in trade survey","URL":"https://www.thebookseller.com/news/sexual-harassment-reported-over-half-trade-survey-671276#","author":[{"family":"Bookseller news team","given":""}],"accessed":{"date-parts":[["2022",1,31]]},"issued":{"date-parts":[["2017",11,10]]}}}],"schema":"https://github.com/citation-style-language/schema/raw/master/csl-citation.json"} </w:instrText>
      </w:r>
      <w:r w:rsidRPr="00E91D1E">
        <w:rPr>
          <w:rFonts w:cs="Arial"/>
        </w:rPr>
        <w:fldChar w:fldCharType="separate"/>
      </w:r>
      <w:r w:rsidR="001A6652" w:rsidRPr="001A6652">
        <w:rPr>
          <w:rFonts w:cs="Arial"/>
        </w:rPr>
        <w:t>Bookseller news team, ‘Sexual Harassment Reported by over Half in Trade Survey’.</w:t>
      </w:r>
      <w:r w:rsidRPr="00E91D1E">
        <w:rPr>
          <w:rFonts w:cs="Arial"/>
        </w:rPr>
        <w:fldChar w:fldCharType="end"/>
      </w:r>
    </w:p>
  </w:footnote>
  <w:footnote w:id="50">
    <w:p w14:paraId="3E60AB88" w14:textId="7C3DD1AB" w:rsidR="001B6114" w:rsidRPr="00E91D1E" w:rsidRDefault="001B6114">
      <w:pPr>
        <w:pStyle w:val="FootnoteText"/>
        <w:rPr>
          <w:rFonts w:cs="Arial"/>
          <w:lang w:val="de-AT"/>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{"citationID":"a107i49d1h8","properties":{"formattedCitation":"\\uc0\\u8216{}Market Insights\\uc0\\u8217{}.","plainCitation":"‘Market Insights’.","noteIndex":50},"citationItems":[{"id":2829,"uris":["http://zotero.org/users/4455276/items/WYZ79CWJ"],"itemData":{"id":2829,"type":"post-weblog","abstract":"For a Scottish book market insight, see rights catalogues, short films, BooksfromScotland.com website, publishers' websites.","container-title":"Publishing Scotland","language":"en-GB","title":"Market Insights","URL":"https://www.publishingscotland.org/about-publishing/market-insights/","accessed":{"date-parts":[["2022",7,12]]},"issued":{"date-parts":[["2022"]]}}}],"schema":"https://github.com/citation-style-language/schema/raw/master/csl-citation.json"} </w:instrText>
      </w:r>
      <w:r w:rsidRPr="00E91D1E">
        <w:rPr>
          <w:rFonts w:cs="Arial"/>
        </w:rPr>
        <w:fldChar w:fldCharType="separate"/>
      </w:r>
      <w:r w:rsidR="001A6652" w:rsidRPr="001A6652">
        <w:rPr>
          <w:rFonts w:cs="Arial"/>
        </w:rPr>
        <w:t>‘Market Insights’.</w:t>
      </w:r>
      <w:r w:rsidRPr="00E91D1E">
        <w:rPr>
          <w:rFonts w:cs="Arial"/>
        </w:rPr>
        <w:fldChar w:fldCharType="end"/>
      </w:r>
    </w:p>
  </w:footnote>
  <w:footnote w:id="51">
    <w:p w14:paraId="43F07C8D" w14:textId="3CE7627A"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{"citationID":"bhmUdtOS","properties":{"formattedCitation":"Brook, O\\uc0\\u8217{}Brien, and Taylor, {\\i{}Culture Is Bad for You}, 251.","plainCitation":"Brook, O’Brien, and Taylor, Culture Is Bad for You, 251.","noteIndex":51},"citationItems":[{"id":2421,"uris":["http://zotero.org/users/4455276/items/8FRWFJUP"],"itemData":{"id":2421,"type":"book","event-place":"Manchester","publisher":"Manchester University Press","publisher-place":"Manchester","title":"Culture is bad for you","author":[{"family":"Brook","given":"Orian"},{"family":"O'Brien","given":"David"},{"family":"Taylor","given":"Mark"}],"issued":{"date-parts":[["2020"]]}},"locator":"251","label":"page"}],"schema":"https://github.com/citation-style-language/schema/raw/master/csl-citation.json"} </w:instrText>
      </w:r>
      <w:r w:rsidRPr="00E91D1E">
        <w:rPr>
          <w:rFonts w:cs="Arial"/>
        </w:rPr>
        <w:fldChar w:fldCharType="separate"/>
      </w:r>
      <w:r w:rsidR="001A6652" w:rsidRPr="001A6652">
        <w:rPr>
          <w:rFonts w:cs="Arial"/>
        </w:rPr>
        <w:t xml:space="preserve">Brook, O’Brien, and Taylor, </w:t>
      </w:r>
      <w:r w:rsidR="001A6652" w:rsidRPr="001A6652">
        <w:rPr>
          <w:rFonts w:cs="Arial"/>
          <w:i/>
          <w:iCs/>
        </w:rPr>
        <w:t>Culture Is Bad for You</w:t>
      </w:r>
      <w:r w:rsidR="001A6652" w:rsidRPr="001A6652">
        <w:rPr>
          <w:rFonts w:cs="Arial"/>
        </w:rPr>
        <w:t>, 251.</w:t>
      </w:r>
      <w:r w:rsidRPr="00E91D1E">
        <w:rPr>
          <w:rFonts w:cs="Arial"/>
        </w:rPr>
        <w:fldChar w:fldCharType="end"/>
      </w:r>
    </w:p>
  </w:footnote>
  <w:footnote w:id="52">
    <w:p w14:paraId="5B108AEA" w14:textId="3643AB89"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{"citationID":"wRQDGclI","properties":{"formattedCitation":"Sobande, \\uc0\\u8216{}Woke-Washing\\uc0\\u8217{}.","plainCitation":"Sobande, ‘Woke-Washing’.","noteIndex":52},"citationItems":[{"id":3061,"uris":["http://zotero.org/users/4455276/items/9HGD5YW9"],"itemData":{"id":3061,"type":"article-journal","abstract":"Purpose This paper aims to explore how and why ideas regarding “intersectional” approaches to feminism and Black activism are drawn on in marketing content related to the concept of being “woke” (invested in addressing social injustices). It considers which subject positions are represented as part of this and what they reveal about contemporary issues concerning advertising, gender, race and activism. Design/methodology/approach This study involves an interpretive and critical discursive analysis of so-called feminist advertising (“femvertising”) and marketing examples that make use of Black social justice activist ideas. Findings Findings illuminate how marketing simultaneously enables the visibility and erasure of “intersectional”, feminist and Black social justice activist issues, with the use of key racialised and gendered subject positions: White Saviour, Black Excellence, Strong Black Woman (and Mother) and “Woke” Change Agent. Research limitations/implications This research signals how brands (mis)use issues concerning commercialised notions of feminism, equality and Black social justice activism as part of marketing that flattens and reframes liberationist politics while upholding the neoliberal idea that achievement and social change requires individual ambition and consumption rather than structural shifts and resistance. Practical implications This work can aid the development of advertising standards regulatory approaches which account for nuances of stereotypical representations and marketing’s connection to intersecting issues regarding racism and sexism. Originality/value This research outlines a conceptualisation of the branding of “woke” bravery, which expands our understanding of the interdependency of issues related to race, gender, feminism, activism and marketing. It highlights marketing responses to recent socio-political times, which are influenced by public discourse concerning movements, including Black Lives Matter and Me Too.","container-title":"European Journal of Marketing","DOI":"10.1108/EJM-02-2019-0134","ISSN":"0309-0566","issue":"11","note":"publisher: Emerald Publishing Limited","page":"2723-2745","source":"Emerald Insight","title":"Woke-washing: “intersectional” femvertising and branding “woke” bravery","title-short":"Woke-washing","volume":"54","author":[{"family":"Sobande","given":"Francesca"}],"issued":{"date-parts":[["2019",1,1]]}}}],"schema":"https://github.com/citation-style-language/schema/raw/master/csl-citation.json"} </w:instrText>
      </w:r>
      <w:r w:rsidRPr="00E91D1E">
        <w:rPr>
          <w:rFonts w:cs="Arial"/>
        </w:rPr>
        <w:fldChar w:fldCharType="separate"/>
      </w:r>
      <w:r w:rsidR="001A6652" w:rsidRPr="001A6652">
        <w:rPr>
          <w:rFonts w:cs="Arial"/>
        </w:rPr>
        <w:t>Sobande, ‘Woke-Washing’.</w:t>
      </w:r>
      <w:r w:rsidRPr="00E91D1E">
        <w:rPr>
          <w:rFonts w:cs="Arial"/>
        </w:rPr>
        <w:fldChar w:fldCharType="end"/>
      </w:r>
    </w:p>
  </w:footnote>
  <w:footnote w:id="53">
    <w:p w14:paraId="7D8E9350" w14:textId="271F5BD9" w:rsidR="001B6114" w:rsidRPr="00E91D1E" w:rsidRDefault="001B6114" w:rsidP="001B6114">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{"citationID":"9yrdDT1Z","properties":{"formattedCitation":"Squires, \\uc0\\u8216{}Patchy and Negligible\\uc0\\u8217{}.","plainCitation":"Squires, ‘Patchy and Negligible’.","noteIndex":53},"citationItems":[{"id":599,"uris":["http://zotero.org/users/4455276/items/NFKLH9K3"],"itemData":{"id":599,"type":"post-weblog","abstract":"Claire Squires, Professor of Publishing Studies, University of Stirling on the Scottish Review of Books controversy suggests it reflects a closed clubbable world divorced from contemporary Scotland…","container-title":"Bella Caledonia","language":"en-GB","title":"Patchy and Negligible","URL":"https://bellacaledonia.org.uk/2019/06/04/patchy-and-negligible/","author":[{"family":"Squires","given":"Claire"}],"accessed":{"date-parts":[["2019",6,4]]},"issued":{"date-parts":[["2019",6,4]]}}}],"schema":"https://github.com/citation-style-language/schema/raw/master/csl-citation.json"} </w:instrText>
      </w:r>
      <w:r w:rsidRPr="00E91D1E">
        <w:rPr>
          <w:rFonts w:cs="Arial"/>
        </w:rPr>
        <w:fldChar w:fldCharType="separate"/>
      </w:r>
      <w:r w:rsidR="001A6652" w:rsidRPr="001A6652">
        <w:rPr>
          <w:rFonts w:cs="Arial"/>
        </w:rPr>
        <w:t>Squires, ‘Patchy and Negligible’.</w:t>
      </w:r>
      <w:r w:rsidRPr="00E91D1E">
        <w:rPr>
          <w:rFonts w:cs="Arial"/>
        </w:rPr>
        <w:fldChar w:fldCharType="end"/>
      </w:r>
    </w:p>
  </w:footnote>
  <w:footnote w:id="54">
    <w:p w14:paraId="61B6635D" w14:textId="4D037D5E" w:rsidR="001B6114" w:rsidRPr="00E91D1E" w:rsidRDefault="001B6114" w:rsidP="001B6114">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{"citationID":"Ptupvyga","properties":{"formattedCitation":"Squires.","plainCitation":"Squires.","noteIndex":54},"citationItems":[{"id":599,"uris":["http://zotero.org/users/4455276/items/NFKLH9K3"],"itemData":{"id":599,"type":"post-weblog","abstract":"Claire Squires, Professor of Publishing Studies, University of Stirling on the Scottish Review of Books controversy suggests it reflects a closed clubbable world divorced from contemporary Scotland…","container-title":"Bella Caledonia","language":"en-GB","title":"Patchy and Negligible","URL":"https://bellacaledonia.org.uk/2019/06/04/patchy-and-negligible/","author":[{"family":"Squires","given":"Claire"}],"accessed":{"date-parts":[["2019",6,4]]},"issued":{"date-parts":[["2019",6,4]]}}}],"schema":"https://github.com/citation-style-language/schema/raw/master/csl-citation.json"} </w:instrText>
      </w:r>
      <w:r w:rsidRPr="00E91D1E">
        <w:rPr>
          <w:rFonts w:cs="Arial"/>
        </w:rPr>
        <w:fldChar w:fldCharType="separate"/>
      </w:r>
      <w:r w:rsidR="001A6652">
        <w:rPr>
          <w:rFonts w:cs="Arial"/>
        </w:rPr>
        <w:t>Squires.</w:t>
      </w:r>
      <w:r w:rsidRPr="00E91D1E">
        <w:rPr>
          <w:rFonts w:cs="Arial"/>
        </w:rPr>
        <w:fldChar w:fldCharType="end"/>
      </w:r>
    </w:p>
  </w:footnote>
  <w:footnote w:id="55">
    <w:p w14:paraId="2D0ED801" w14:textId="6250DB13" w:rsidR="001B6114" w:rsidRPr="00E91D1E" w:rsidRDefault="001B6114" w:rsidP="001B6114">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{"citationID":"VFpb6sK8","properties":{"formattedCitation":"Ahmed, \\uc0\\u8216{}The Nonperformativity of Antiracism\\uc0\\u8217{}, 118.","plainCitation":"Ahmed, ‘The Nonperformativity of Antiracism’, 118.","noteIndex":55},"citationItems":[{"id":2422,"uris":["http://zotero.org/users/4455276/items/K8RK38WA"],"itemData":{"id":2422,"type":"article-journal","collection-title":"Duke University Press","container-title":"Meridians","issue":"1","page":"104-126","title":"The Nonperformativity of Antiracism","volume":"7","author":[{"family":"Ahmed","given":"Sara"}],"issued":{"date-parts":[["2006"]]}},"locator":"118","label":"page"}],"schema":"https://github.com/citation-style-language/schema/raw/master/csl-citation.json"} </w:instrText>
      </w:r>
      <w:r w:rsidRPr="00E91D1E">
        <w:rPr>
          <w:rFonts w:cs="Arial"/>
        </w:rPr>
        <w:fldChar w:fldCharType="separate"/>
      </w:r>
      <w:r w:rsidR="001A6652" w:rsidRPr="001A6652">
        <w:rPr>
          <w:rFonts w:cs="Arial"/>
        </w:rPr>
        <w:t>Ahmed, ‘The Nonperformativity of Antiracism’, 118.</w:t>
      </w:r>
      <w:r w:rsidRPr="00E91D1E">
        <w:rPr>
          <w:rFonts w:cs="Arial"/>
        </w:rPr>
        <w:fldChar w:fldCharType="end"/>
      </w:r>
    </w:p>
  </w:footnote>
  <w:footnote w:id="56">
    <w:p w14:paraId="653D706B" w14:textId="464C4596"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{"citationID":"nn3gQQeR","properties":{"formattedCitation":"Agarwal, {\\i{}Sway: Unravelling Unconscious Bias}, 414.","plainCitation":"Agarwal, Sway: Unravelling Unconscious Bias, 414.","noteIndex":56},"citationItems":[{"id":2871,"uris":["http://zotero.org/users/4455276/items/BCKPUDSR"],"itemData":{"id":2871,"type":"book","event-place":"London","publisher":"Bloomsbury Sigma","publisher-place":"London","title":"Sway: Unravelling unconscious bias","author":[{"family":"Agarwal","given":"Pragya"}],"issued":{"date-parts":[["2020"]]}},"locator":"414"}],"schema":"https://github.com/citation-style-language/schema/raw/master/csl-citation.json"} </w:instrText>
      </w:r>
      <w:r w:rsidRPr="00E91D1E">
        <w:rPr>
          <w:rFonts w:cs="Arial"/>
        </w:rPr>
        <w:fldChar w:fldCharType="separate"/>
      </w:r>
      <w:r w:rsidR="001A6652" w:rsidRPr="001A6652">
        <w:rPr>
          <w:rFonts w:cs="Arial"/>
        </w:rPr>
        <w:t xml:space="preserve">Agarwal, </w:t>
      </w:r>
      <w:r w:rsidR="001A6652" w:rsidRPr="001A6652">
        <w:rPr>
          <w:rFonts w:cs="Arial"/>
          <w:i/>
          <w:iCs/>
        </w:rPr>
        <w:t>Sway: Unravelling Unconscious Bias</w:t>
      </w:r>
      <w:r w:rsidR="001A6652" w:rsidRPr="001A6652">
        <w:rPr>
          <w:rFonts w:cs="Arial"/>
        </w:rPr>
        <w:t>, 414.</w:t>
      </w:r>
      <w:r w:rsidRPr="00E91D1E">
        <w:rPr>
          <w:rFonts w:cs="Arial"/>
        </w:rPr>
        <w:fldChar w:fldCharType="end"/>
      </w:r>
    </w:p>
  </w:footnote>
  <w:footnote w:id="57">
    <w:p w14:paraId="098440F5" w14:textId="7F5E7890" w:rsidR="008B0FE9" w:rsidRPr="00E91D1E" w:rsidRDefault="008B0FE9">
      <w:pPr>
        <w:pStyle w:val="FootnoteText"/>
        <w:rPr>
          <w:rFonts w:cs="Arial"/>
          <w:lang w:val="de-AT"/>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{"citationID":"a25oeba899a","properties":{"formattedCitation":"Washington and Kelly, \\uc0\\u8216{}Who\\uc0\\u8217{}s Responsible for This? Moral Responsibility, Externalism, and Knowledge about Implicit Bias\\uc0\\u8217{}.","plainCitation":"Washington and Kelly, ‘Who’s Responsible for This? Moral Responsibility, Externalism, and Knowledge about Implicit Bias’.","noteIndex":57},"citationItems":[{"id":3305,"uris":["http://zotero.org/users/4455276/items/DAKKLAV3"],"itemData":{"id":3305,"type":"chapter","container-title":"Implicit Bias and Philosophy, Volume 2: Moral Responsibility, Structural Injustice, and Ethics","event-place":"Oxford","page":"10-36","publisher":"Oxford University Press","publisher-place":"Oxford","title":"Who's Responsible for This? Moral Responsibility, Externalism, and Knowledge about Implicit Bias","author":[{"family":"Washington","given":"Natalia"},{"family":"Kelly","given":"Daniel"}],"editor":[{"family":"Brownstein","given":"Michael"},{"family":"Saul","given":"Jennifer"}],"issued":{"date-parts":[["2016"]]}}}],"schema":"https://github.com/citation-style-language/schema/raw/master/csl-citation.json"} </w:instrText>
      </w:r>
      <w:r w:rsidRPr="00E91D1E">
        <w:rPr>
          <w:rFonts w:cs="Arial"/>
        </w:rPr>
        <w:fldChar w:fldCharType="separate"/>
      </w:r>
      <w:r w:rsidR="001A6652" w:rsidRPr="001A6652">
        <w:rPr>
          <w:rFonts w:cs="Arial"/>
        </w:rPr>
        <w:t>Washington and Kelly, ‘Who’s Responsible for This? Moral Responsibility, Externalism, and Knowledge about Implicit Bias’.</w:t>
      </w:r>
      <w:r w:rsidRPr="00E91D1E">
        <w:rPr>
          <w:rFonts w:cs="Arial"/>
        </w:rPr>
        <w:fldChar w:fldCharType="end"/>
      </w:r>
    </w:p>
  </w:footnote>
  <w:footnote w:id="58">
    <w:p w14:paraId="61AF3781" w14:textId="3BEB257A"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{"citationID":"OAXHpqHq","properties":{"formattedCitation":"Agarwal, {\\i{}Sway: Unravelling Unconscious Bias}, 405.","plainCitation":"Agarwal, Sway: Unravelling Unconscious Bias, 405.","noteIndex":58},"citationItems":[{"id":2871,"uris":["http://zotero.org/users/4455276/items/BCKPUDSR"],"itemData":{"id":2871,"type":"book","event-place":"London","publisher":"Bloomsbury Sigma","publisher-place":"London","title":"Sway: Unravelling unconscious bias","author":[{"family":"Agarwal","given":"Pragya"}],"issued":{"date-parts":[["2020"]]}},"locator":"405"}],"schema":"https://github.com/citation-style-language/schema/raw/master/csl-citation.json"} </w:instrText>
      </w:r>
      <w:r w:rsidRPr="00E91D1E">
        <w:rPr>
          <w:rFonts w:cs="Arial"/>
        </w:rPr>
        <w:fldChar w:fldCharType="separate"/>
      </w:r>
      <w:r w:rsidR="001A6652" w:rsidRPr="001A6652">
        <w:rPr>
          <w:rFonts w:cs="Arial"/>
        </w:rPr>
        <w:t xml:space="preserve">Agarwal, </w:t>
      </w:r>
      <w:r w:rsidR="001A6652" w:rsidRPr="001A6652">
        <w:rPr>
          <w:rFonts w:cs="Arial"/>
          <w:i/>
          <w:iCs/>
        </w:rPr>
        <w:t>Sway: Unravelling Unconscious Bias</w:t>
      </w:r>
      <w:r w:rsidR="001A6652" w:rsidRPr="001A6652">
        <w:rPr>
          <w:rFonts w:cs="Arial"/>
        </w:rPr>
        <w:t>, 405.</w:t>
      </w:r>
      <w:r w:rsidRPr="00E91D1E">
        <w:rPr>
          <w:rFonts w:cs="Arial"/>
        </w:rPr>
        <w:fldChar w:fldCharType="end"/>
      </w:r>
    </w:p>
  </w:footnote>
  <w:footnote w:id="59">
    <w:p w14:paraId="39E0D648" w14:textId="0CEEF11B"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{"citationID":"NbQjgw8G","properties":{"formattedCitation":"Crenshaw, \\uc0\\u8216{}Demarginalizing the Intersection of Race and Sex: A Black Feminist Critique of Antidiscrimination Doctrine, Feminist Theory and Antiracist Politics\\uc0\\u8217{}, 148\\uc0\\u8211{}49.","plainCitation":"Crenshaw, ‘Demarginalizing the Intersection of Race and Sex: A Black Feminist Critique of Antidiscrimination Doctrine, Feminist Theory and Antiracist Politics’, 148–49.","noteIndex":59},"citationItems":[{"id":2593,"uris":["http://zotero.org/users/4455276/items/DQM582ZX"],"itemData":{"id":2593,"type":"article-journal","container-title":"University of Chicago Legal Forum","issue":"1","page":"139-167","title":"Demarginalizing the Intersection of Race and Sex: A Black Feminist Critique of Antidiscrimination Doctrine, Feminist Theory and Antiracist Politics","volume":"1989","author":[{"family":"Crenshaw","given":"Kimberlé"}],"issued":{"date-parts":[["1989"]]}},"locator":"148-149"}],"schema":"https://github.com/citation-style-language/schema/raw/master/csl-citation.json"} </w:instrText>
      </w:r>
      <w:r w:rsidRPr="00E91D1E">
        <w:rPr>
          <w:rFonts w:cs="Arial"/>
        </w:rPr>
        <w:fldChar w:fldCharType="separate"/>
      </w:r>
      <w:r w:rsidR="001A6652" w:rsidRPr="001A6652">
        <w:rPr>
          <w:rFonts w:cs="Arial"/>
        </w:rPr>
        <w:t>Crenshaw, ‘Demarginalizing the Intersection of Race and Sex: A Black Feminist Critique of Antidiscrimination Doctrine, Feminist Theory and Antiracist Politics’, 148–49.</w:t>
      </w:r>
      <w:r w:rsidRPr="00E91D1E">
        <w:rPr>
          <w:rFonts w:cs="Arial"/>
        </w:rPr>
        <w:fldChar w:fldCharType="end"/>
      </w:r>
    </w:p>
  </w:footnote>
  <w:footnote w:id="60">
    <w:p w14:paraId="2D2382B8" w14:textId="647D1CC1" w:rsidR="00684D21" w:rsidRPr="00E91D1E" w:rsidRDefault="00684D21">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{"citationID":"KbvWVCje","properties":{"formattedCitation":"Bookseller news team, \\uc0\\u8216{}Sexual Harassment Reported by over Half in Trade Survey\\uc0\\u8217{}.","plainCitation":"Bookseller news team, ‘Sexual Harassment Reported by over Half in Trade Survey’.","noteIndex":60},"citationItems":[{"id":2470,"uris":["http://zotero.org/users/4455276/items/4BVU8VLJ"],"itemData":{"id":2470,"type":"article-magazine","container-title":"The Bookseller","title":"Sexual harassment reported by over half in trade survey","URL":"https://www.thebookseller.com/news/sexual-harassment-reported-over-half-trade-survey-671276#","author":[{"family":"Bookseller news team","given":""}],"accessed":{"date-parts":[["2022",1,31]]},"issued":{"date-parts":[["2017",11,10]]}}}],"schema":"https://github.com/citation-style-language/schema/raw/master/csl-citation.json"} </w:instrText>
      </w:r>
      <w:r w:rsidRPr="00E91D1E">
        <w:rPr>
          <w:rFonts w:cs="Arial"/>
        </w:rPr>
        <w:fldChar w:fldCharType="separate"/>
      </w:r>
      <w:r w:rsidR="001A6652" w:rsidRPr="001A6652">
        <w:rPr>
          <w:rFonts w:cs="Arial"/>
        </w:rPr>
        <w:t>Bookseller news team, ‘Sexual Harassment Reported by over Half in Trade Survey’.</w:t>
      </w:r>
      <w:r w:rsidRPr="00E91D1E">
        <w:rPr>
          <w:rFonts w:cs="Arial"/>
        </w:rPr>
        <w:fldChar w:fldCharType="end"/>
      </w:r>
    </w:p>
  </w:footnote>
  <w:footnote w:id="61">
    <w:p w14:paraId="30A281E9" w14:textId="342675FD" w:rsidR="00283383" w:rsidRPr="00E91D1E" w:rsidRDefault="00283383">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{"citationID":"a1ddi3bq8g0","properties":{"formattedCitation":"\\uc0\\u8216{}Bectu Calls on Creative Industries to Get behind Independent Standards Authority as 9 in 10 Creative Workers Say They Have Been Sexually Harassed at Work\\uc0\\u8217{}.","plainCitation":"‘Bectu Calls on Creative Industries to Get behind Independent Standards Authority as 9 in 10 Creative Workers Say They Have Been Sexually Harassed at Work’.","noteIndex":61},"citationItems":[{"id":3293,"uris":["http://zotero.org/users/4455276/items/S4NZAZBA"],"itemData":{"id":3293,"type":"webpage","abstract":"Please be aware that the below article contains descriptions of sexual harassment and assault and may be...","container-title":"Bectu","language":"en","title":"Bectu calls on creative industries to get behind independent standards authority as 9 in 10 creative workers say they have been sexually harassed at work","URL":"https://bectu.org.uk/news/bectu-calls-on-creative-industries-to-get-behind-independent-standards-authority-as-9-in-10-creative-workers-say-they-have-been-sexually-harassed-at-work","accessed":{"date-parts":[["2025",3,7]]},"issued":{"date-parts":[["2024",5,30]]}}}],"schema":"https://github.com/citation-style-language/schema/raw/master/csl-citation.json"} </w:instrText>
      </w:r>
      <w:r w:rsidRPr="00E91D1E">
        <w:rPr>
          <w:rFonts w:cs="Arial"/>
        </w:rPr>
        <w:fldChar w:fldCharType="separate"/>
      </w:r>
      <w:r w:rsidR="001A6652" w:rsidRPr="001A6652">
        <w:rPr>
          <w:rFonts w:cs="Arial"/>
        </w:rPr>
        <w:t>‘Bectu Calls on Creative Industries to Get behind Independent Standards Authority as 9 in 10 Creative Workers Say They Have Been Sexually Harassed at Work’.</w:t>
      </w:r>
      <w:r w:rsidRPr="00E91D1E">
        <w:rPr>
          <w:rFonts w:cs="Arial"/>
        </w:rPr>
        <w:fldChar w:fldCharType="end"/>
      </w:r>
    </w:p>
  </w:footnote>
  <w:footnote w:id="62">
    <w:p w14:paraId="26CB45D6" w14:textId="7066EDF8" w:rsidR="00283383" w:rsidRPr="00E91D1E" w:rsidRDefault="00283383">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{"citationID":"a26mrgv5lkb","properties":{"formattedCitation":"\\uc0\\u8216{}Discrimination\\uc0\\u8217{}; \\uc0\\u8216{}Bullying and Harassment\\uc0\\u8217{}.","plainCitation":"‘Discrimination’; ‘Bullying and Harassment’.","noteIndex":62},"citationItems":[{"id":3295,"uris":["http://zotero.org/users/4455276/items/YXY7L9I5"],"itemData":{"id":3295,"type":"webpage","abstract":"Support and guidance for behind the scenes workers in the film, TV and cinema industry when experiencing discrimination.","container-title":"The Film and TV Charity","language":"en","title":"Discrimination","URL":"https://filmtvcharity.org.uk/get-support/problems-at-work/discrimination/","accessed":{"date-parts":[["2025",3,7]]}}},{"id":3296,"uris":["http://zotero.org/users/4455276/items/R4QKF2MY"],"itemData":{"id":3296,"type":"webpage","abstract":"Our support is available to help you to understand your rights and what options you have if you're experiencing bullying, harassment or discrimination.","container-title":"The Film and TV Charity","language":"en","title":"Bullying and harassment","URL":"https://filmtvcharity.org.uk/get-support/problems-at-work/bullying-and-harassment/","accessed":{"date-parts":[["2025",3,7]]}}}],"schema":"https://github.com/citation-style-language/schema/raw/master/csl-citation.json"} </w:instrText>
      </w:r>
      <w:r w:rsidRPr="00E91D1E">
        <w:rPr>
          <w:rFonts w:cs="Arial"/>
        </w:rPr>
        <w:fldChar w:fldCharType="separate"/>
      </w:r>
      <w:r w:rsidR="001A6652" w:rsidRPr="001A6652">
        <w:rPr>
          <w:rFonts w:cs="Arial"/>
        </w:rPr>
        <w:t>‘Discrimination’; ‘Bullying and Harassment’.</w:t>
      </w:r>
      <w:r w:rsidRPr="00E91D1E">
        <w:rPr>
          <w:rFonts w:cs="Arial"/>
        </w:rPr>
        <w:fldChar w:fldCharType="end"/>
      </w:r>
    </w:p>
  </w:footnote>
  <w:footnote w:id="63">
    <w:p w14:paraId="79BDBBFA" w14:textId="795F5961" w:rsidR="00FF66DD" w:rsidRPr="00E91D1E" w:rsidRDefault="00FF66DD" w:rsidP="00FF66DD">
      <w:pPr>
        <w:pStyle w:val="FootnoteText"/>
        <w:rPr>
          <w:rFonts w:cs="Arial"/>
        </w:rPr>
      </w:pPr>
      <w:r w:rsidRPr="00715DA1">
        <w:rPr>
          <w:rStyle w:val="FootnoteReference"/>
        </w:rPr>
        <w:footnoteRef/>
      </w:r>
      <w:r w:rsidRPr="00E91D1E">
        <w:rPr>
          <w:rFonts w:cs="Arial"/>
        </w:rPr>
        <w:t xml:space="preserve"> </w:t>
      </w:r>
      <w:r w:rsidRPr="00E91D1E">
        <w:rPr>
          <w:rFonts w:cs="Arial"/>
        </w:rPr>
        <w:fldChar w:fldCharType="begin"/>
      </w:r>
      <w:r w:rsidR="001A6652">
        <w:rPr>
          <w:rFonts w:cs="Arial"/>
        </w:rPr>
        <w:instrText xml:space="preserve"> ADDIN ZOTERO_ITEM CSL_CITATION {"citationID":"acs31r9cja","properties":{"formattedCitation":"\\uc0\\u8216{}Take Over Tent for Revolting Women\\uc0\\u8217{}.","plainCitation":"‘Take Over Tent for Revolting Women’.","noteIndex":63},"citationItems":[{"id":2897,"uris":["http://zotero.org/users/4455276/items/9JQJ5465"],"itemData":{"id":2897,"type":"webpage","abstract":"The Take Over Tent for Revolting Women (created in honour of militants and mavericks from 1918-2018) will be popping up at Edinburgh International Book Festival with the intention of making feminist…","container-title":"Glasgow Women's Library","language":"en-US","title":"Take Over Tent for Revolting Women","URL":"https://womenslibrary.org.uk/event/take-over-tent-for-revolting-women/2018-08-23/","accessed":{"date-parts":[["2022",8,8]]},"issued":{"date-parts":[["2018",7,12]]}}}],"schema":"https://github.com/citation-style-language/schema/raw/master/csl-citation.json"} </w:instrText>
      </w:r>
      <w:r w:rsidRPr="00E91D1E">
        <w:rPr>
          <w:rFonts w:cs="Arial"/>
        </w:rPr>
        <w:fldChar w:fldCharType="separate"/>
      </w:r>
      <w:r w:rsidR="001A6652" w:rsidRPr="001A6652">
        <w:rPr>
          <w:rFonts w:cs="Arial"/>
        </w:rPr>
        <w:t>‘Take Over Tent for Revolting Women’.</w:t>
      </w:r>
      <w:r w:rsidRPr="00E91D1E">
        <w:rPr>
          <w:rFonts w:cs="Arial"/>
        </w:rP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24C8C" w14:textId="77777777" w:rsidR="008A5792" w:rsidRDefault="008A57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DC580" w14:textId="714C0752" w:rsidR="00704C08" w:rsidRDefault="00EF1F78">
    <w:pPr>
      <w:pStyle w:val="Header"/>
    </w:pPr>
    <w:r>
      <w:pict w14:anchorId="1ACABB34">
        <v:shape id="shapetype_136" o:spid="_x0000_s1025" alt="" style="position:absolute;margin-left:0;margin-top:0;width:50pt;height:50pt;z-index:251657216;visibility:hidden;mso-wrap-edited:f;mso-width-percent:0;mso-height-percent:0;mso-width-percent:0;mso-height-percent:0" coordsize="21600,21600" o:spt="100" adj="10800,,0" path="m,l21600,em,21600r21600,e">
          <v:stroke joinstyle="miter"/>
          <v:formulas/>
          <v:path o:connecttype="custom" o:connectlocs="0,0;2147483646,0;0,2147483646;2147483646,2147483646" o:connectangles="0,0,0,0"/>
          <o:lock v:ext="edit" selection="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FD038" w14:textId="77777777" w:rsidR="008A5792" w:rsidRDefault="008A57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681E"/>
    <w:multiLevelType w:val="hybridMultilevel"/>
    <w:tmpl w:val="2432ECBE"/>
    <w:lvl w:ilvl="0" w:tplc="B5EA8568">
      <w:start w:val="8"/>
      <w:numFmt w:val="bullet"/>
      <w:lvlText w:val="-"/>
      <w:lvlJc w:val="left"/>
      <w:pPr>
        <w:ind w:left="180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7F0356"/>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6144C6C"/>
    <w:multiLevelType w:val="multilevel"/>
    <w:tmpl w:val="153018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313D89"/>
    <w:multiLevelType w:val="multilevel"/>
    <w:tmpl w:val="EEDC10BE"/>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647033D"/>
    <w:multiLevelType w:val="multilevel"/>
    <w:tmpl w:val="B13820E2"/>
    <w:lvl w:ilvl="0">
      <w:start w:val="1"/>
      <w:numFmt w:val="bullet"/>
      <w:lvlText w:val="o"/>
      <w:lvlJc w:val="left"/>
      <w:pPr>
        <w:ind w:left="1080" w:hanging="360"/>
      </w:pPr>
      <w:rPr>
        <w:rFonts w:ascii="Courier New" w:hAnsi="Courier New" w:cs="Courier New"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5" w15:restartNumberingAfterBreak="0">
    <w:nsid w:val="07B136A8"/>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0B2E212F"/>
    <w:multiLevelType w:val="hybridMultilevel"/>
    <w:tmpl w:val="694868DE"/>
    <w:lvl w:ilvl="0" w:tplc="B5EA8568">
      <w:start w:val="8"/>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69D3729"/>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17E02C02"/>
    <w:multiLevelType w:val="multilevel"/>
    <w:tmpl w:val="0BD42A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19C00FD0"/>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73F5B08"/>
    <w:multiLevelType w:val="multilevel"/>
    <w:tmpl w:val="293679E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38863E40"/>
    <w:multiLevelType w:val="multilevel"/>
    <w:tmpl w:val="D2F21ED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3BB308B7"/>
    <w:multiLevelType w:val="hybridMultilevel"/>
    <w:tmpl w:val="AF70DD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E243EB0"/>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49395EFA"/>
    <w:multiLevelType w:val="hybridMultilevel"/>
    <w:tmpl w:val="BDDA08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422787"/>
    <w:multiLevelType w:val="hybridMultilevel"/>
    <w:tmpl w:val="AF70DD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5A6AB1"/>
    <w:multiLevelType w:val="multilevel"/>
    <w:tmpl w:val="DA6E45A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6D35498C"/>
    <w:multiLevelType w:val="hybridMultilevel"/>
    <w:tmpl w:val="63D20BC2"/>
    <w:lvl w:ilvl="0" w:tplc="461C304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7E37BF"/>
    <w:multiLevelType w:val="hybridMultilevel"/>
    <w:tmpl w:val="D8F009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2644364">
    <w:abstractNumId w:val="2"/>
  </w:num>
  <w:num w:numId="2" w16cid:durableId="2037540827">
    <w:abstractNumId w:val="11"/>
  </w:num>
  <w:num w:numId="3" w16cid:durableId="1645426751">
    <w:abstractNumId w:val="8"/>
  </w:num>
  <w:num w:numId="4" w16cid:durableId="1248736451">
    <w:abstractNumId w:val="3"/>
  </w:num>
  <w:num w:numId="5" w16cid:durableId="1880584065">
    <w:abstractNumId w:val="7"/>
  </w:num>
  <w:num w:numId="6" w16cid:durableId="800147597">
    <w:abstractNumId w:val="4"/>
  </w:num>
  <w:num w:numId="7" w16cid:durableId="1200236988">
    <w:abstractNumId w:val="10"/>
  </w:num>
  <w:num w:numId="8" w16cid:durableId="1395346919">
    <w:abstractNumId w:val="15"/>
  </w:num>
  <w:num w:numId="9" w16cid:durableId="2047292108">
    <w:abstractNumId w:val="18"/>
  </w:num>
  <w:num w:numId="10" w16cid:durableId="1450396192">
    <w:abstractNumId w:val="16"/>
  </w:num>
  <w:num w:numId="11" w16cid:durableId="2046909579">
    <w:abstractNumId w:val="5"/>
  </w:num>
  <w:num w:numId="12" w16cid:durableId="60058881">
    <w:abstractNumId w:val="9"/>
  </w:num>
  <w:num w:numId="13" w16cid:durableId="1315067600">
    <w:abstractNumId w:val="13"/>
  </w:num>
  <w:num w:numId="14" w16cid:durableId="796679570">
    <w:abstractNumId w:val="1"/>
  </w:num>
  <w:num w:numId="15" w16cid:durableId="1761179017">
    <w:abstractNumId w:val="6"/>
  </w:num>
  <w:num w:numId="16" w16cid:durableId="1607539106">
    <w:abstractNumId w:val="0"/>
  </w:num>
  <w:num w:numId="17" w16cid:durableId="1064177859">
    <w:abstractNumId w:val="14"/>
  </w:num>
  <w:num w:numId="18" w16cid:durableId="51664956">
    <w:abstractNumId w:val="12"/>
  </w:num>
  <w:num w:numId="19" w16cid:durableId="72464459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removePersonalInformation/>
  <w:removeDateAndTime/>
  <w:embedTrueTypeFonts/>
  <w:proofState w:spelling="clean" w:grammar="clean"/>
  <w:documentProtection w:edit="readOnly" w:enforcement="1" w:cryptProviderType="rsaAES" w:cryptAlgorithmClass="hash" w:cryptAlgorithmType="typeAny" w:cryptAlgorithmSid="14" w:cryptSpinCount="100000" w:hash="Q7K2MXnc/FwVXExiBAcX6uRCEJ3dGg5HFcMPPrt7Nd1NsLf4/n5/dKxgjElcjHAPyb8W1AYW5roCwq3DoTA7oQ==" w:salt="zeLcbtuidJZuwzFiqCECKg=="/>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C08"/>
    <w:rsid w:val="000052B8"/>
    <w:rsid w:val="00021A6F"/>
    <w:rsid w:val="000237DB"/>
    <w:rsid w:val="00026F5C"/>
    <w:rsid w:val="00035A3E"/>
    <w:rsid w:val="00035C53"/>
    <w:rsid w:val="00035FDF"/>
    <w:rsid w:val="00036B2F"/>
    <w:rsid w:val="00046392"/>
    <w:rsid w:val="00054339"/>
    <w:rsid w:val="0006064F"/>
    <w:rsid w:val="00073EE4"/>
    <w:rsid w:val="00075668"/>
    <w:rsid w:val="00076150"/>
    <w:rsid w:val="0008227D"/>
    <w:rsid w:val="00082B0A"/>
    <w:rsid w:val="00085EDD"/>
    <w:rsid w:val="00087567"/>
    <w:rsid w:val="00097D6F"/>
    <w:rsid w:val="000A12EF"/>
    <w:rsid w:val="000B6B2E"/>
    <w:rsid w:val="000C741E"/>
    <w:rsid w:val="000D04F6"/>
    <w:rsid w:val="000D2A33"/>
    <w:rsid w:val="000D4DE0"/>
    <w:rsid w:val="000F6686"/>
    <w:rsid w:val="00120EB1"/>
    <w:rsid w:val="00130140"/>
    <w:rsid w:val="00135E80"/>
    <w:rsid w:val="001453A1"/>
    <w:rsid w:val="0014607E"/>
    <w:rsid w:val="00146883"/>
    <w:rsid w:val="00150766"/>
    <w:rsid w:val="0016050C"/>
    <w:rsid w:val="00161AF7"/>
    <w:rsid w:val="00172A92"/>
    <w:rsid w:val="00173B17"/>
    <w:rsid w:val="00173BB7"/>
    <w:rsid w:val="001808E0"/>
    <w:rsid w:val="00185FC6"/>
    <w:rsid w:val="001868F9"/>
    <w:rsid w:val="001946E4"/>
    <w:rsid w:val="001A38F7"/>
    <w:rsid w:val="001A6652"/>
    <w:rsid w:val="001B6114"/>
    <w:rsid w:val="001C6A66"/>
    <w:rsid w:val="001D09B7"/>
    <w:rsid w:val="001D635B"/>
    <w:rsid w:val="001E0710"/>
    <w:rsid w:val="001E678E"/>
    <w:rsid w:val="001F1A98"/>
    <w:rsid w:val="002019F9"/>
    <w:rsid w:val="002103DD"/>
    <w:rsid w:val="00234FDB"/>
    <w:rsid w:val="0023584A"/>
    <w:rsid w:val="0023667A"/>
    <w:rsid w:val="00240FFD"/>
    <w:rsid w:val="00241113"/>
    <w:rsid w:val="0024460A"/>
    <w:rsid w:val="00255D82"/>
    <w:rsid w:val="0026277D"/>
    <w:rsid w:val="00263252"/>
    <w:rsid w:val="00266028"/>
    <w:rsid w:val="00266E8F"/>
    <w:rsid w:val="002714C2"/>
    <w:rsid w:val="002754D6"/>
    <w:rsid w:val="00283383"/>
    <w:rsid w:val="00285811"/>
    <w:rsid w:val="00287443"/>
    <w:rsid w:val="00291DBA"/>
    <w:rsid w:val="0029213E"/>
    <w:rsid w:val="002A1A74"/>
    <w:rsid w:val="002A79E9"/>
    <w:rsid w:val="002C30D4"/>
    <w:rsid w:val="002C33C0"/>
    <w:rsid w:val="002D12DE"/>
    <w:rsid w:val="002D526D"/>
    <w:rsid w:val="002D5717"/>
    <w:rsid w:val="002E0321"/>
    <w:rsid w:val="002E2973"/>
    <w:rsid w:val="002F4BD6"/>
    <w:rsid w:val="00301B7E"/>
    <w:rsid w:val="00304C21"/>
    <w:rsid w:val="00321227"/>
    <w:rsid w:val="00342E6F"/>
    <w:rsid w:val="003440DF"/>
    <w:rsid w:val="0035021D"/>
    <w:rsid w:val="0035653E"/>
    <w:rsid w:val="00360D94"/>
    <w:rsid w:val="003617BB"/>
    <w:rsid w:val="00367335"/>
    <w:rsid w:val="003778DE"/>
    <w:rsid w:val="003825B7"/>
    <w:rsid w:val="00384630"/>
    <w:rsid w:val="003934B4"/>
    <w:rsid w:val="00396B68"/>
    <w:rsid w:val="003A06F7"/>
    <w:rsid w:val="003B7DE9"/>
    <w:rsid w:val="003C6C5D"/>
    <w:rsid w:val="003E0FAE"/>
    <w:rsid w:val="003E41EB"/>
    <w:rsid w:val="003F41B1"/>
    <w:rsid w:val="003F6A1C"/>
    <w:rsid w:val="00403A06"/>
    <w:rsid w:val="00405EAB"/>
    <w:rsid w:val="00423918"/>
    <w:rsid w:val="00424EA8"/>
    <w:rsid w:val="00453B4D"/>
    <w:rsid w:val="0046508F"/>
    <w:rsid w:val="00465A09"/>
    <w:rsid w:val="00471FF7"/>
    <w:rsid w:val="00474A8B"/>
    <w:rsid w:val="0047624B"/>
    <w:rsid w:val="004805C3"/>
    <w:rsid w:val="00481392"/>
    <w:rsid w:val="00482FFE"/>
    <w:rsid w:val="00483F90"/>
    <w:rsid w:val="00486080"/>
    <w:rsid w:val="0049288B"/>
    <w:rsid w:val="00497656"/>
    <w:rsid w:val="004A3B37"/>
    <w:rsid w:val="004B4C48"/>
    <w:rsid w:val="004B6B18"/>
    <w:rsid w:val="004B6BB7"/>
    <w:rsid w:val="004E79FA"/>
    <w:rsid w:val="00501F5D"/>
    <w:rsid w:val="0050412F"/>
    <w:rsid w:val="00504F96"/>
    <w:rsid w:val="00520DE4"/>
    <w:rsid w:val="00526180"/>
    <w:rsid w:val="005405DD"/>
    <w:rsid w:val="00543A58"/>
    <w:rsid w:val="0054588A"/>
    <w:rsid w:val="005838D4"/>
    <w:rsid w:val="00593396"/>
    <w:rsid w:val="00595174"/>
    <w:rsid w:val="00596B85"/>
    <w:rsid w:val="005A04C5"/>
    <w:rsid w:val="005A426B"/>
    <w:rsid w:val="005B075B"/>
    <w:rsid w:val="005B116F"/>
    <w:rsid w:val="005C5310"/>
    <w:rsid w:val="005C5BB9"/>
    <w:rsid w:val="005D5F7D"/>
    <w:rsid w:val="005E50F0"/>
    <w:rsid w:val="005E5872"/>
    <w:rsid w:val="005E5F5C"/>
    <w:rsid w:val="005E6BD8"/>
    <w:rsid w:val="005F3F75"/>
    <w:rsid w:val="005F68AB"/>
    <w:rsid w:val="00602149"/>
    <w:rsid w:val="00604082"/>
    <w:rsid w:val="00626BAF"/>
    <w:rsid w:val="0063183F"/>
    <w:rsid w:val="006332CD"/>
    <w:rsid w:val="006446CB"/>
    <w:rsid w:val="00647C20"/>
    <w:rsid w:val="0065313A"/>
    <w:rsid w:val="006545D6"/>
    <w:rsid w:val="00657A38"/>
    <w:rsid w:val="00684D21"/>
    <w:rsid w:val="00695308"/>
    <w:rsid w:val="006957A6"/>
    <w:rsid w:val="00697DD1"/>
    <w:rsid w:val="006A0599"/>
    <w:rsid w:val="006A1C63"/>
    <w:rsid w:val="006A5D49"/>
    <w:rsid w:val="006B6188"/>
    <w:rsid w:val="006D0C6C"/>
    <w:rsid w:val="006D21CC"/>
    <w:rsid w:val="006E4B6A"/>
    <w:rsid w:val="006F2960"/>
    <w:rsid w:val="006F3BE5"/>
    <w:rsid w:val="006F69D7"/>
    <w:rsid w:val="006F6BF5"/>
    <w:rsid w:val="0070111F"/>
    <w:rsid w:val="00703281"/>
    <w:rsid w:val="00704C08"/>
    <w:rsid w:val="007058D8"/>
    <w:rsid w:val="00715DA1"/>
    <w:rsid w:val="00716269"/>
    <w:rsid w:val="00717F1B"/>
    <w:rsid w:val="00720F50"/>
    <w:rsid w:val="00722873"/>
    <w:rsid w:val="00726409"/>
    <w:rsid w:val="0073142F"/>
    <w:rsid w:val="00732160"/>
    <w:rsid w:val="00743F10"/>
    <w:rsid w:val="00751B99"/>
    <w:rsid w:val="00772123"/>
    <w:rsid w:val="00775908"/>
    <w:rsid w:val="00776448"/>
    <w:rsid w:val="00791E53"/>
    <w:rsid w:val="007958DD"/>
    <w:rsid w:val="007A0719"/>
    <w:rsid w:val="007B1032"/>
    <w:rsid w:val="007B5CAA"/>
    <w:rsid w:val="007C21BA"/>
    <w:rsid w:val="007C274A"/>
    <w:rsid w:val="007C324D"/>
    <w:rsid w:val="007C3719"/>
    <w:rsid w:val="007C3FE7"/>
    <w:rsid w:val="007D37C9"/>
    <w:rsid w:val="007E131F"/>
    <w:rsid w:val="007E56A9"/>
    <w:rsid w:val="007E696E"/>
    <w:rsid w:val="007F5F46"/>
    <w:rsid w:val="007F77DF"/>
    <w:rsid w:val="00802E74"/>
    <w:rsid w:val="00813A84"/>
    <w:rsid w:val="00823FA5"/>
    <w:rsid w:val="008266FA"/>
    <w:rsid w:val="008371FE"/>
    <w:rsid w:val="00843060"/>
    <w:rsid w:val="008463AD"/>
    <w:rsid w:val="00852DBB"/>
    <w:rsid w:val="00856730"/>
    <w:rsid w:val="0085765B"/>
    <w:rsid w:val="00870D2C"/>
    <w:rsid w:val="0088272B"/>
    <w:rsid w:val="00886E94"/>
    <w:rsid w:val="00887683"/>
    <w:rsid w:val="008A5792"/>
    <w:rsid w:val="008A746E"/>
    <w:rsid w:val="008B0FE9"/>
    <w:rsid w:val="008B18AC"/>
    <w:rsid w:val="008C4AFA"/>
    <w:rsid w:val="008E3F9F"/>
    <w:rsid w:val="008F5D33"/>
    <w:rsid w:val="0090551D"/>
    <w:rsid w:val="00905A5D"/>
    <w:rsid w:val="0091752F"/>
    <w:rsid w:val="00917F21"/>
    <w:rsid w:val="00932266"/>
    <w:rsid w:val="00937112"/>
    <w:rsid w:val="00943A38"/>
    <w:rsid w:val="009450EE"/>
    <w:rsid w:val="00946583"/>
    <w:rsid w:val="00961539"/>
    <w:rsid w:val="009731D6"/>
    <w:rsid w:val="009758BE"/>
    <w:rsid w:val="009860B4"/>
    <w:rsid w:val="00986589"/>
    <w:rsid w:val="0099173B"/>
    <w:rsid w:val="009A2A0F"/>
    <w:rsid w:val="009E2487"/>
    <w:rsid w:val="009E38F5"/>
    <w:rsid w:val="00A009D6"/>
    <w:rsid w:val="00A06F10"/>
    <w:rsid w:val="00A11C73"/>
    <w:rsid w:val="00A2121A"/>
    <w:rsid w:val="00A24363"/>
    <w:rsid w:val="00A269A7"/>
    <w:rsid w:val="00A32D2C"/>
    <w:rsid w:val="00A33603"/>
    <w:rsid w:val="00A35F5E"/>
    <w:rsid w:val="00A378AB"/>
    <w:rsid w:val="00A40964"/>
    <w:rsid w:val="00A44F55"/>
    <w:rsid w:val="00A60D94"/>
    <w:rsid w:val="00A62D47"/>
    <w:rsid w:val="00A65927"/>
    <w:rsid w:val="00A81585"/>
    <w:rsid w:val="00A85869"/>
    <w:rsid w:val="00A934FB"/>
    <w:rsid w:val="00A939D8"/>
    <w:rsid w:val="00A97013"/>
    <w:rsid w:val="00AA404C"/>
    <w:rsid w:val="00AC0AEB"/>
    <w:rsid w:val="00AC1F11"/>
    <w:rsid w:val="00AC65D2"/>
    <w:rsid w:val="00AF09A1"/>
    <w:rsid w:val="00AF3D2D"/>
    <w:rsid w:val="00B00E9A"/>
    <w:rsid w:val="00B10A6A"/>
    <w:rsid w:val="00B16239"/>
    <w:rsid w:val="00B17922"/>
    <w:rsid w:val="00B27748"/>
    <w:rsid w:val="00B32D86"/>
    <w:rsid w:val="00B42E1B"/>
    <w:rsid w:val="00B46331"/>
    <w:rsid w:val="00B51A8E"/>
    <w:rsid w:val="00B53788"/>
    <w:rsid w:val="00B60952"/>
    <w:rsid w:val="00B923C2"/>
    <w:rsid w:val="00B97FDB"/>
    <w:rsid w:val="00BA271C"/>
    <w:rsid w:val="00BA4B1B"/>
    <w:rsid w:val="00BA4B33"/>
    <w:rsid w:val="00BA781E"/>
    <w:rsid w:val="00BB0123"/>
    <w:rsid w:val="00BC3D9C"/>
    <w:rsid w:val="00BC7C05"/>
    <w:rsid w:val="00BD2DF9"/>
    <w:rsid w:val="00BD3E7E"/>
    <w:rsid w:val="00BE58AD"/>
    <w:rsid w:val="00BE646B"/>
    <w:rsid w:val="00C06CB1"/>
    <w:rsid w:val="00C06F5D"/>
    <w:rsid w:val="00C0701F"/>
    <w:rsid w:val="00C25B91"/>
    <w:rsid w:val="00C27E32"/>
    <w:rsid w:val="00C47EE5"/>
    <w:rsid w:val="00C608B7"/>
    <w:rsid w:val="00C74E19"/>
    <w:rsid w:val="00C874C8"/>
    <w:rsid w:val="00C93C56"/>
    <w:rsid w:val="00CB1E14"/>
    <w:rsid w:val="00CB7F60"/>
    <w:rsid w:val="00CC09FA"/>
    <w:rsid w:val="00CD0DE6"/>
    <w:rsid w:val="00CF3015"/>
    <w:rsid w:val="00CF52F1"/>
    <w:rsid w:val="00D06B15"/>
    <w:rsid w:val="00D168DD"/>
    <w:rsid w:val="00D242AD"/>
    <w:rsid w:val="00D26CD3"/>
    <w:rsid w:val="00D309C7"/>
    <w:rsid w:val="00D33594"/>
    <w:rsid w:val="00D41088"/>
    <w:rsid w:val="00D46E58"/>
    <w:rsid w:val="00D652CB"/>
    <w:rsid w:val="00D868E5"/>
    <w:rsid w:val="00D86B71"/>
    <w:rsid w:val="00D87E97"/>
    <w:rsid w:val="00D91DE5"/>
    <w:rsid w:val="00D92216"/>
    <w:rsid w:val="00D95BD3"/>
    <w:rsid w:val="00DA1349"/>
    <w:rsid w:val="00DA7EC8"/>
    <w:rsid w:val="00DA7F3C"/>
    <w:rsid w:val="00DB0375"/>
    <w:rsid w:val="00DB23CB"/>
    <w:rsid w:val="00DC75FC"/>
    <w:rsid w:val="00DD0879"/>
    <w:rsid w:val="00DD4DF0"/>
    <w:rsid w:val="00DF0851"/>
    <w:rsid w:val="00E065DE"/>
    <w:rsid w:val="00E116F6"/>
    <w:rsid w:val="00E170AA"/>
    <w:rsid w:val="00E1759E"/>
    <w:rsid w:val="00E44A93"/>
    <w:rsid w:val="00E51D5F"/>
    <w:rsid w:val="00E560CC"/>
    <w:rsid w:val="00E62269"/>
    <w:rsid w:val="00E67B81"/>
    <w:rsid w:val="00E7303B"/>
    <w:rsid w:val="00E757C6"/>
    <w:rsid w:val="00E84C38"/>
    <w:rsid w:val="00E84C76"/>
    <w:rsid w:val="00E91D1E"/>
    <w:rsid w:val="00E9343C"/>
    <w:rsid w:val="00E95C32"/>
    <w:rsid w:val="00EB1F7F"/>
    <w:rsid w:val="00EC1136"/>
    <w:rsid w:val="00EC3666"/>
    <w:rsid w:val="00EC4807"/>
    <w:rsid w:val="00EC7A66"/>
    <w:rsid w:val="00ED0551"/>
    <w:rsid w:val="00EE337D"/>
    <w:rsid w:val="00EF1F78"/>
    <w:rsid w:val="00EF49A7"/>
    <w:rsid w:val="00F0312F"/>
    <w:rsid w:val="00F173B5"/>
    <w:rsid w:val="00F2731B"/>
    <w:rsid w:val="00F346C8"/>
    <w:rsid w:val="00F34C8A"/>
    <w:rsid w:val="00F34FD5"/>
    <w:rsid w:val="00F35393"/>
    <w:rsid w:val="00F3797A"/>
    <w:rsid w:val="00F42793"/>
    <w:rsid w:val="00F4644F"/>
    <w:rsid w:val="00F621AD"/>
    <w:rsid w:val="00F65253"/>
    <w:rsid w:val="00F65841"/>
    <w:rsid w:val="00F66F07"/>
    <w:rsid w:val="00F8609B"/>
    <w:rsid w:val="00F928CF"/>
    <w:rsid w:val="00F92FC8"/>
    <w:rsid w:val="00F94D12"/>
    <w:rsid w:val="00FA0B10"/>
    <w:rsid w:val="00FA3344"/>
    <w:rsid w:val="00FB13C3"/>
    <w:rsid w:val="00FB34F4"/>
    <w:rsid w:val="00FC42E0"/>
    <w:rsid w:val="00FC660F"/>
    <w:rsid w:val="00FE1B55"/>
    <w:rsid w:val="00FE5C3A"/>
    <w:rsid w:val="00FE78FD"/>
    <w:rsid w:val="00FE7997"/>
    <w:rsid w:val="00FF0843"/>
    <w:rsid w:val="00FF2BC3"/>
    <w:rsid w:val="00FF34F4"/>
    <w:rsid w:val="00FF66DD"/>
    <w:rsid w:val="23B69409"/>
    <w:rsid w:val="486A82AF"/>
    <w:rsid w:val="7BA23E2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ED3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12F"/>
    <w:pPr>
      <w:spacing w:after="160" w:line="259" w:lineRule="auto"/>
    </w:pPr>
    <w:rPr>
      <w:rFonts w:ascii="Arial" w:hAnsi="Arial"/>
      <w:sz w:val="24"/>
    </w:rPr>
  </w:style>
  <w:style w:type="paragraph" w:styleId="Heading1">
    <w:name w:val="heading 1"/>
    <w:basedOn w:val="Normal"/>
    <w:next w:val="Normal"/>
    <w:link w:val="Heading1Char"/>
    <w:uiPriority w:val="9"/>
    <w:qFormat/>
    <w:rsid w:val="00EB76A3"/>
    <w:pPr>
      <w:keepNext/>
      <w:keepLines/>
      <w:spacing w:before="240" w:after="0"/>
      <w:outlineLvl w:val="0"/>
    </w:pPr>
    <w:rPr>
      <w:rFonts w:asciiTheme="majorHAnsi" w:eastAsiaTheme="majorEastAsia" w:hAnsiTheme="majorHAnsi" w:cstheme="majorBidi"/>
      <w:color w:val="0086A0" w:themeColor="accent1" w:themeShade="BF"/>
      <w:sz w:val="32"/>
      <w:szCs w:val="32"/>
    </w:rPr>
  </w:style>
  <w:style w:type="paragraph" w:styleId="Heading2">
    <w:name w:val="heading 2"/>
    <w:basedOn w:val="Normal"/>
    <w:next w:val="Normal"/>
    <w:link w:val="Heading2Char"/>
    <w:uiPriority w:val="9"/>
    <w:unhideWhenUsed/>
    <w:qFormat/>
    <w:rsid w:val="008A650E"/>
    <w:pPr>
      <w:spacing w:line="360" w:lineRule="auto"/>
      <w:outlineLvl w:val="1"/>
    </w:pPr>
    <w:rPr>
      <w:b/>
      <w:bCs/>
      <w:sz w:val="32"/>
      <w:szCs w:val="32"/>
    </w:rPr>
  </w:style>
  <w:style w:type="paragraph" w:styleId="Heading3">
    <w:name w:val="heading 3"/>
    <w:basedOn w:val="Heading2"/>
    <w:next w:val="Normal"/>
    <w:link w:val="Heading3Char"/>
    <w:uiPriority w:val="9"/>
    <w:unhideWhenUsed/>
    <w:qFormat/>
    <w:rsid w:val="008A650E"/>
    <w:pPr>
      <w:outlineLvl w:val="2"/>
    </w:pPr>
    <w:rPr>
      <w:b w:val="0"/>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CC54BB"/>
  </w:style>
  <w:style w:type="character" w:customStyle="1" w:styleId="FooterChar">
    <w:name w:val="Footer Char"/>
    <w:basedOn w:val="DefaultParagraphFont"/>
    <w:link w:val="Footer"/>
    <w:uiPriority w:val="99"/>
    <w:qFormat/>
    <w:rsid w:val="00CC54BB"/>
  </w:style>
  <w:style w:type="character" w:customStyle="1" w:styleId="BalloonTextChar">
    <w:name w:val="Balloon Text Char"/>
    <w:basedOn w:val="DefaultParagraphFont"/>
    <w:link w:val="BalloonText"/>
    <w:uiPriority w:val="99"/>
    <w:semiHidden/>
    <w:qFormat/>
    <w:rsid w:val="00A4453C"/>
    <w:rPr>
      <w:rFonts w:ascii="Segoe UI" w:hAnsi="Segoe UI" w:cs="Segoe UI"/>
      <w:sz w:val="18"/>
      <w:szCs w:val="18"/>
    </w:rPr>
  </w:style>
  <w:style w:type="character" w:customStyle="1" w:styleId="Heading2Char">
    <w:name w:val="Heading 2 Char"/>
    <w:basedOn w:val="DefaultParagraphFont"/>
    <w:link w:val="Heading2"/>
    <w:uiPriority w:val="9"/>
    <w:qFormat/>
    <w:rsid w:val="008A650E"/>
    <w:rPr>
      <w:rFonts w:ascii="Arial" w:hAnsi="Arial"/>
      <w:b/>
      <w:bCs/>
      <w:sz w:val="32"/>
      <w:szCs w:val="32"/>
    </w:rPr>
  </w:style>
  <w:style w:type="character" w:customStyle="1" w:styleId="Heading3Char">
    <w:name w:val="Heading 3 Char"/>
    <w:basedOn w:val="DefaultParagraphFont"/>
    <w:link w:val="Heading3"/>
    <w:uiPriority w:val="9"/>
    <w:qFormat/>
    <w:rsid w:val="008A650E"/>
    <w:rPr>
      <w:rFonts w:ascii="Arial" w:hAnsi="Arial"/>
      <w:bCs/>
      <w:sz w:val="28"/>
      <w:szCs w:val="28"/>
      <w:u w:val="single"/>
    </w:rPr>
  </w:style>
  <w:style w:type="character" w:customStyle="1" w:styleId="InternetLink">
    <w:name w:val="Internet Link"/>
    <w:basedOn w:val="DefaultParagraphFont"/>
    <w:uiPriority w:val="99"/>
    <w:unhideWhenUsed/>
    <w:qFormat/>
    <w:rsid w:val="008A650E"/>
    <w:rPr>
      <w:b w:val="0"/>
      <w:color w:val="C31C70"/>
      <w:u w:val="single"/>
    </w:rPr>
  </w:style>
  <w:style w:type="character" w:styleId="FollowedHyperlink">
    <w:name w:val="FollowedHyperlink"/>
    <w:basedOn w:val="DefaultParagraphFont"/>
    <w:uiPriority w:val="99"/>
    <w:semiHidden/>
    <w:unhideWhenUsed/>
    <w:qFormat/>
    <w:rsid w:val="00E4314C"/>
    <w:rPr>
      <w:color w:val="954F72" w:themeColor="followedHyperlink"/>
      <w:u w:val="single"/>
    </w:rPr>
  </w:style>
  <w:style w:type="character" w:styleId="CommentReference">
    <w:name w:val="annotation reference"/>
    <w:basedOn w:val="DefaultParagraphFont"/>
    <w:uiPriority w:val="99"/>
    <w:semiHidden/>
    <w:unhideWhenUsed/>
    <w:qFormat/>
    <w:rsid w:val="00BA4B12"/>
    <w:rPr>
      <w:sz w:val="16"/>
      <w:szCs w:val="16"/>
    </w:rPr>
  </w:style>
  <w:style w:type="character" w:customStyle="1" w:styleId="CommentTextChar">
    <w:name w:val="Comment Text Char"/>
    <w:basedOn w:val="DefaultParagraphFont"/>
    <w:link w:val="CommentText"/>
    <w:uiPriority w:val="99"/>
    <w:qFormat/>
    <w:rsid w:val="00BA4B12"/>
    <w:rPr>
      <w:sz w:val="20"/>
      <w:szCs w:val="20"/>
    </w:rPr>
  </w:style>
  <w:style w:type="character" w:customStyle="1" w:styleId="CommentSubjectChar">
    <w:name w:val="Comment Subject Char"/>
    <w:basedOn w:val="CommentTextChar"/>
    <w:link w:val="CommentSubject"/>
    <w:uiPriority w:val="99"/>
    <w:semiHidden/>
    <w:qFormat/>
    <w:rsid w:val="00BA4B12"/>
    <w:rPr>
      <w:b/>
      <w:bCs/>
      <w:sz w:val="20"/>
      <w:szCs w:val="20"/>
    </w:rPr>
  </w:style>
  <w:style w:type="character" w:styleId="UnresolvedMention">
    <w:name w:val="Unresolved Mention"/>
    <w:basedOn w:val="DefaultParagraphFont"/>
    <w:uiPriority w:val="99"/>
    <w:semiHidden/>
    <w:unhideWhenUsed/>
    <w:qFormat/>
    <w:rsid w:val="00BA4B12"/>
    <w:rPr>
      <w:color w:val="605E5C"/>
      <w:shd w:val="clear" w:color="auto" w:fill="E1DFDD"/>
    </w:rPr>
  </w:style>
  <w:style w:type="character" w:customStyle="1" w:styleId="cf01">
    <w:name w:val="cf01"/>
    <w:basedOn w:val="DefaultParagraphFont"/>
    <w:qFormat/>
    <w:rsid w:val="00A175BB"/>
    <w:rPr>
      <w:rFonts w:ascii="Segoe UI" w:hAnsi="Segoe UI" w:cs="Segoe UI"/>
      <w:sz w:val="18"/>
      <w:szCs w:val="18"/>
    </w:rPr>
  </w:style>
  <w:style w:type="character" w:customStyle="1" w:styleId="EndnoteTextChar">
    <w:name w:val="Endnote Text Char"/>
    <w:basedOn w:val="DefaultParagraphFont"/>
    <w:link w:val="EndnoteText"/>
    <w:uiPriority w:val="99"/>
    <w:semiHidden/>
    <w:qFormat/>
    <w:rsid w:val="0050265C"/>
    <w:rPr>
      <w:sz w:val="20"/>
      <w:szCs w:val="20"/>
    </w:rPr>
  </w:style>
  <w:style w:type="character" w:customStyle="1" w:styleId="EndnoteCharacters">
    <w:name w:val="Endnote Characters"/>
    <w:basedOn w:val="DefaultParagraphFont"/>
    <w:uiPriority w:val="99"/>
    <w:semiHidden/>
    <w:unhideWhenUsed/>
    <w:qFormat/>
    <w:rsid w:val="0050265C"/>
    <w:rPr>
      <w:vertAlign w:val="superscript"/>
    </w:rPr>
  </w:style>
  <w:style w:type="character" w:customStyle="1" w:styleId="EndnoteAnchor">
    <w:name w:val="Endnote Anchor"/>
    <w:rPr>
      <w:vertAlign w:val="superscript"/>
    </w:rPr>
  </w:style>
  <w:style w:type="character" w:customStyle="1" w:styleId="NoSpacingChar">
    <w:name w:val="No Spacing Char"/>
    <w:basedOn w:val="DefaultParagraphFont"/>
    <w:link w:val="NoSpacing"/>
    <w:uiPriority w:val="1"/>
    <w:qFormat/>
    <w:rsid w:val="008B3F79"/>
    <w:rPr>
      <w:rFonts w:eastAsiaTheme="minorEastAsia"/>
      <w:lang w:eastAsia="en-GB"/>
    </w:rPr>
  </w:style>
  <w:style w:type="character" w:customStyle="1" w:styleId="FootnoteTextChar">
    <w:name w:val="Footnote Text Char"/>
    <w:basedOn w:val="DefaultParagraphFont"/>
    <w:link w:val="FootnoteText"/>
    <w:uiPriority w:val="99"/>
    <w:qFormat/>
    <w:rsid w:val="00C3787B"/>
    <w:rPr>
      <w:rFonts w:ascii="Arial" w:hAnsi="Arial"/>
      <w:sz w:val="20"/>
      <w:szCs w:val="20"/>
    </w:rPr>
  </w:style>
  <w:style w:type="character" w:customStyle="1" w:styleId="FootnoteCharacters">
    <w:name w:val="Footnote Characters"/>
    <w:basedOn w:val="DefaultParagraphFont"/>
    <w:uiPriority w:val="99"/>
    <w:unhideWhenUsed/>
    <w:qFormat/>
    <w:rsid w:val="00C3787B"/>
    <w:rPr>
      <w:vertAlign w:val="superscript"/>
    </w:rPr>
  </w:style>
  <w:style w:type="character" w:customStyle="1" w:styleId="FootnoteAnchor">
    <w:name w:val="Footnote Anchor"/>
    <w:rPr>
      <w:vertAlign w:val="superscript"/>
    </w:rPr>
  </w:style>
  <w:style w:type="character" w:customStyle="1" w:styleId="apple-converted-space">
    <w:name w:val="apple-converted-space"/>
    <w:basedOn w:val="DefaultParagraphFont"/>
    <w:qFormat/>
    <w:rsid w:val="00ED6848"/>
  </w:style>
  <w:style w:type="character" w:customStyle="1" w:styleId="QuoteChar">
    <w:name w:val="Quote Char"/>
    <w:basedOn w:val="DefaultParagraphFont"/>
    <w:link w:val="Quote"/>
    <w:uiPriority w:val="29"/>
    <w:qFormat/>
    <w:rsid w:val="005F7F29"/>
    <w:rPr>
      <w:rFonts w:ascii="Arial" w:hAnsi="Arial"/>
      <w:i/>
      <w:iCs/>
      <w:color w:val="404040" w:themeColor="text1" w:themeTint="BF"/>
      <w:sz w:val="24"/>
    </w:rPr>
  </w:style>
  <w:style w:type="character" w:styleId="Emphasis">
    <w:name w:val="Emphasis"/>
    <w:basedOn w:val="DefaultParagraphFont"/>
    <w:uiPriority w:val="20"/>
    <w:qFormat/>
    <w:rsid w:val="00DA254D"/>
    <w:rPr>
      <w:i/>
      <w:iCs/>
    </w:rPr>
  </w:style>
  <w:style w:type="character" w:styleId="SubtleEmphasis">
    <w:name w:val="Subtle Emphasis"/>
    <w:basedOn w:val="DefaultParagraphFont"/>
    <w:uiPriority w:val="19"/>
    <w:qFormat/>
    <w:rsid w:val="00DA254D"/>
    <w:rPr>
      <w:i/>
      <w:iCs/>
      <w:color w:val="404040" w:themeColor="text1" w:themeTint="BF"/>
    </w:rPr>
  </w:style>
  <w:style w:type="character" w:styleId="IntenseEmphasis">
    <w:name w:val="Intense Emphasis"/>
    <w:basedOn w:val="DefaultParagraphFont"/>
    <w:uiPriority w:val="21"/>
    <w:qFormat/>
    <w:rsid w:val="00DA254D"/>
    <w:rPr>
      <w:i/>
      <w:iCs/>
      <w:color w:val="00B5D6" w:themeColor="accent1"/>
    </w:rPr>
  </w:style>
  <w:style w:type="character" w:customStyle="1" w:styleId="Heading1Char">
    <w:name w:val="Heading 1 Char"/>
    <w:basedOn w:val="DefaultParagraphFont"/>
    <w:link w:val="Heading1"/>
    <w:uiPriority w:val="9"/>
    <w:qFormat/>
    <w:rsid w:val="00EB76A3"/>
    <w:rPr>
      <w:rFonts w:asciiTheme="majorHAnsi" w:eastAsiaTheme="majorEastAsia" w:hAnsiTheme="majorHAnsi" w:cstheme="majorBidi"/>
      <w:color w:val="0086A0" w:themeColor="accent1" w:themeShade="BF"/>
      <w:sz w:val="32"/>
      <w:szCs w:val="32"/>
    </w:rPr>
  </w:style>
  <w:style w:type="character" w:customStyle="1" w:styleId="s8">
    <w:name w:val="s8"/>
    <w:basedOn w:val="DefaultParagraphFont"/>
    <w:qFormat/>
    <w:rsid w:val="00EB76A3"/>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ascii="Times New Roman" w:hAnsi="Times New Roman" w:cs="Courier New"/>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cs="Courier New"/>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ascii="Times New Roman" w:hAnsi="Times New Roman" w:cs="Courier New"/>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sz w:val="20"/>
    </w:rPr>
  </w:style>
  <w:style w:type="character" w:customStyle="1" w:styleId="ListLabel71">
    <w:name w:val="ListLabel 71"/>
    <w:qFormat/>
    <w:rPr>
      <w:sz w:val="20"/>
    </w:rPr>
  </w:style>
  <w:style w:type="character" w:customStyle="1" w:styleId="ListLabel72">
    <w:name w:val="ListLabel 72"/>
    <w:qFormat/>
    <w:rPr>
      <w:sz w:val="20"/>
    </w:rPr>
  </w:style>
  <w:style w:type="character" w:customStyle="1" w:styleId="ListLabel73">
    <w:name w:val="ListLabel 73"/>
    <w:qFormat/>
    <w:rPr>
      <w:sz w:val="20"/>
    </w:rPr>
  </w:style>
  <w:style w:type="character" w:customStyle="1" w:styleId="ListLabel74">
    <w:name w:val="ListLabel 74"/>
    <w:qFormat/>
    <w:rPr>
      <w:sz w:val="20"/>
    </w:rPr>
  </w:style>
  <w:style w:type="character" w:customStyle="1" w:styleId="ListLabel75">
    <w:name w:val="ListLabel 75"/>
    <w:qFormat/>
    <w:rPr>
      <w:sz w:val="20"/>
    </w:rPr>
  </w:style>
  <w:style w:type="character" w:customStyle="1" w:styleId="ListLabel76">
    <w:name w:val="ListLabel 76"/>
    <w:qFormat/>
    <w:rPr>
      <w:sz w:val="20"/>
    </w:rPr>
  </w:style>
  <w:style w:type="character" w:customStyle="1" w:styleId="ListLabel77">
    <w:name w:val="ListLabel 77"/>
    <w:qFormat/>
    <w:rPr>
      <w:sz w:val="20"/>
    </w:rPr>
  </w:style>
  <w:style w:type="character" w:customStyle="1" w:styleId="ListLabel78">
    <w:name w:val="ListLabel 78"/>
    <w:qFormat/>
    <w:rPr>
      <w:sz w:val="20"/>
    </w:rPr>
  </w:style>
  <w:style w:type="character" w:customStyle="1" w:styleId="ListLabel79">
    <w:name w:val="ListLabel 79"/>
    <w:qFormat/>
    <w:rPr>
      <w:sz w:val="20"/>
    </w:rPr>
  </w:style>
  <w:style w:type="character" w:customStyle="1" w:styleId="ListLabel80">
    <w:name w:val="ListLabel 80"/>
    <w:qFormat/>
    <w:rPr>
      <w:sz w:val="20"/>
    </w:rPr>
  </w:style>
  <w:style w:type="character" w:customStyle="1" w:styleId="ListLabel81">
    <w:name w:val="ListLabel 81"/>
    <w:qFormat/>
    <w:rPr>
      <w:sz w:val="20"/>
    </w:rPr>
  </w:style>
  <w:style w:type="character" w:customStyle="1" w:styleId="ListLabel82">
    <w:name w:val="ListLabel 82"/>
    <w:qFormat/>
    <w:rPr>
      <w:sz w:val="20"/>
    </w:rPr>
  </w:style>
  <w:style w:type="character" w:customStyle="1" w:styleId="ListLabel83">
    <w:name w:val="ListLabel 83"/>
    <w:qFormat/>
    <w:rPr>
      <w:sz w:val="20"/>
    </w:rPr>
  </w:style>
  <w:style w:type="character" w:customStyle="1" w:styleId="ListLabel84">
    <w:name w:val="ListLabel 84"/>
    <w:qFormat/>
    <w:rPr>
      <w:sz w:val="20"/>
    </w:rPr>
  </w:style>
  <w:style w:type="character" w:customStyle="1" w:styleId="ListLabel85">
    <w:name w:val="ListLabel 85"/>
    <w:qFormat/>
    <w:rPr>
      <w:sz w:val="20"/>
    </w:rPr>
  </w:style>
  <w:style w:type="character" w:customStyle="1" w:styleId="ListLabel86">
    <w:name w:val="ListLabel 86"/>
    <w:qFormat/>
    <w:rPr>
      <w:sz w:val="20"/>
    </w:rPr>
  </w:style>
  <w:style w:type="character" w:customStyle="1" w:styleId="ListLabel87">
    <w:name w:val="ListLabel 87"/>
    <w:qFormat/>
    <w:rPr>
      <w:sz w:val="20"/>
    </w:rPr>
  </w:style>
  <w:style w:type="character" w:customStyle="1" w:styleId="ListLabel88">
    <w:name w:val="ListLabel 88"/>
    <w:qFormat/>
    <w:rPr>
      <w:sz w:val="20"/>
    </w:rPr>
  </w:style>
  <w:style w:type="character" w:customStyle="1" w:styleId="ListLabel89">
    <w:name w:val="ListLabel 89"/>
    <w:qFormat/>
    <w:rPr>
      <w:sz w:val="20"/>
    </w:rPr>
  </w:style>
  <w:style w:type="character" w:customStyle="1" w:styleId="ListLabel90">
    <w:name w:val="ListLabel 90"/>
    <w:qFormat/>
    <w:rPr>
      <w:sz w:val="20"/>
    </w:rPr>
  </w:style>
  <w:style w:type="character" w:customStyle="1" w:styleId="ListLabel91">
    <w:name w:val="ListLabel 91"/>
    <w:qFormat/>
    <w:rPr>
      <w:sz w:val="20"/>
    </w:rPr>
  </w:style>
  <w:style w:type="character" w:customStyle="1" w:styleId="ListLabel92">
    <w:name w:val="ListLabel 92"/>
    <w:qFormat/>
    <w:rPr>
      <w:sz w:val="20"/>
    </w:rPr>
  </w:style>
  <w:style w:type="character" w:customStyle="1" w:styleId="ListLabel93">
    <w:name w:val="ListLabel 93"/>
    <w:qFormat/>
    <w:rPr>
      <w:sz w:val="20"/>
    </w:rPr>
  </w:style>
  <w:style w:type="character" w:customStyle="1" w:styleId="ListLabel94">
    <w:name w:val="ListLabel 94"/>
    <w:qFormat/>
    <w:rPr>
      <w:sz w:val="20"/>
    </w:rPr>
  </w:style>
  <w:style w:type="character" w:customStyle="1" w:styleId="ListLabel95">
    <w:name w:val="ListLabel 95"/>
    <w:qFormat/>
    <w:rPr>
      <w:sz w:val="20"/>
    </w:rPr>
  </w:style>
  <w:style w:type="character" w:customStyle="1" w:styleId="ListLabel96">
    <w:name w:val="ListLabel 96"/>
    <w:qFormat/>
    <w:rPr>
      <w:sz w:val="20"/>
    </w:rPr>
  </w:style>
  <w:style w:type="character" w:customStyle="1" w:styleId="ListLabel97">
    <w:name w:val="ListLabel 97"/>
    <w:qFormat/>
    <w:rPr>
      <w:sz w:val="20"/>
    </w:rPr>
  </w:style>
  <w:style w:type="character" w:customStyle="1" w:styleId="ListLabel98">
    <w:name w:val="ListLabel 98"/>
    <w:qFormat/>
    <w:rPr>
      <w:sz w:val="20"/>
    </w:rPr>
  </w:style>
  <w:style w:type="character" w:customStyle="1" w:styleId="ListLabel99">
    <w:name w:val="ListLabel 99"/>
    <w:qFormat/>
    <w:rPr>
      <w:sz w:val="20"/>
    </w:rPr>
  </w:style>
  <w:style w:type="character" w:customStyle="1" w:styleId="ListLabel100">
    <w:name w:val="ListLabel 100"/>
    <w:qFormat/>
    <w:rPr>
      <w:sz w:val="20"/>
    </w:rPr>
  </w:style>
  <w:style w:type="character" w:customStyle="1" w:styleId="ListLabel101">
    <w:name w:val="ListLabel 101"/>
    <w:qFormat/>
    <w:rPr>
      <w:sz w:val="20"/>
    </w:rPr>
  </w:style>
  <w:style w:type="character" w:customStyle="1" w:styleId="ListLabel102">
    <w:name w:val="ListLabel 102"/>
    <w:qFormat/>
    <w:rPr>
      <w:sz w:val="20"/>
    </w:rPr>
  </w:style>
  <w:style w:type="character" w:customStyle="1" w:styleId="ListLabel103">
    <w:name w:val="ListLabel 103"/>
    <w:qFormat/>
    <w:rPr>
      <w:sz w:val="20"/>
    </w:rPr>
  </w:style>
  <w:style w:type="character" w:customStyle="1" w:styleId="ListLabel104">
    <w:name w:val="ListLabel 104"/>
    <w:qFormat/>
    <w:rPr>
      <w:sz w:val="20"/>
    </w:rPr>
  </w:style>
  <w:style w:type="character" w:customStyle="1" w:styleId="ListLabel105">
    <w:name w:val="ListLabel 105"/>
    <w:qFormat/>
    <w:rPr>
      <w:sz w:val="20"/>
    </w:rPr>
  </w:style>
  <w:style w:type="character" w:customStyle="1" w:styleId="ListLabel106">
    <w:name w:val="ListLabel 106"/>
    <w:qFormat/>
    <w:rPr>
      <w:rFonts w:cs="Courier New"/>
    </w:rPr>
  </w:style>
  <w:style w:type="character" w:customStyle="1" w:styleId="ListLabel107">
    <w:name w:val="ListLabel 107"/>
    <w:qFormat/>
    <w:rPr>
      <w:rFonts w:cs="Courier New"/>
    </w:rPr>
  </w:style>
  <w:style w:type="character" w:customStyle="1" w:styleId="ListLabel108">
    <w:name w:val="ListLabel 108"/>
    <w:qFormat/>
    <w:rPr>
      <w:rFonts w:cs="Courier New"/>
    </w:rPr>
  </w:style>
  <w:style w:type="character" w:customStyle="1" w:styleId="ListLabel109">
    <w:name w:val="ListLabel 109"/>
    <w:qFormat/>
    <w:rPr>
      <w:rFonts w:eastAsia="Calibri" w:cs="Arial"/>
    </w:rPr>
  </w:style>
  <w:style w:type="character" w:customStyle="1" w:styleId="ListLabel110">
    <w:name w:val="ListLabel 110"/>
    <w:qFormat/>
    <w:rPr>
      <w:rFonts w:cs="Courier New"/>
    </w:rPr>
  </w:style>
  <w:style w:type="character" w:customStyle="1" w:styleId="ListLabel111">
    <w:name w:val="ListLabel 111"/>
    <w:qFormat/>
    <w:rPr>
      <w:rFonts w:cs="Courier New"/>
    </w:rPr>
  </w:style>
  <w:style w:type="character" w:customStyle="1" w:styleId="ListLabel112">
    <w:name w:val="ListLabel 112"/>
    <w:qFormat/>
    <w:rPr>
      <w:rFonts w:cs="Courier New"/>
    </w:rPr>
  </w:style>
  <w:style w:type="character" w:customStyle="1" w:styleId="ListLabel113">
    <w:name w:val="ListLabel 113"/>
    <w:qFormat/>
    <w:rPr>
      <w:rFonts w:eastAsia="Calibri" w:cs="Arial"/>
    </w:rPr>
  </w:style>
  <w:style w:type="character" w:customStyle="1" w:styleId="ListLabel114">
    <w:name w:val="ListLabel 114"/>
    <w:qFormat/>
    <w:rPr>
      <w:rFonts w:cs="Courier New"/>
    </w:rPr>
  </w:style>
  <w:style w:type="character" w:customStyle="1" w:styleId="ListLabel115">
    <w:name w:val="ListLabel 115"/>
    <w:qFormat/>
    <w:rPr>
      <w:rFonts w:cs="Courier New"/>
    </w:rPr>
  </w:style>
  <w:style w:type="character" w:customStyle="1" w:styleId="ListLabel116">
    <w:name w:val="ListLabel 116"/>
    <w:qFormat/>
    <w:rPr>
      <w:rFonts w:cs="Courier New"/>
    </w:rPr>
  </w:style>
  <w:style w:type="character" w:customStyle="1" w:styleId="ListLabel117">
    <w:name w:val="ListLabel 117"/>
    <w:qFormat/>
    <w:rPr>
      <w:rFonts w:ascii="Times New Roman" w:hAnsi="Times New Roman" w:cs="Times New Roman"/>
      <w:color w:val="0000FF"/>
      <w:szCs w:val="24"/>
      <w:u w:val="single"/>
      <w:lang w:eastAsia="en-GB"/>
    </w:rPr>
  </w:style>
  <w:style w:type="character" w:customStyle="1" w:styleId="ListLabel118">
    <w:name w:val="ListLabel 118"/>
    <w:qFormat/>
    <w:rPr>
      <w:rFonts w:ascii="Times New Roman" w:hAnsi="Times New Roman" w:cs="Times New Roman"/>
    </w:rPr>
  </w:style>
  <w:style w:type="character" w:customStyle="1" w:styleId="ListLabel119">
    <w:name w:val="ListLabel 119"/>
    <w:qFormat/>
    <w:rPr>
      <w:rFonts w:ascii="Times New Roman" w:hAnsi="Times New Roman" w:cs="Times New Roman"/>
      <w:szCs w:val="24"/>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next w:val="Normal"/>
    <w:uiPriority w:val="35"/>
    <w:unhideWhenUsed/>
    <w:qFormat/>
    <w:rsid w:val="00D37569"/>
    <w:pPr>
      <w:spacing w:after="200" w:line="240" w:lineRule="auto"/>
    </w:pPr>
    <w:rPr>
      <w:i/>
      <w:iCs/>
      <w:color w:val="44546A" w:themeColor="text2"/>
      <w:sz w:val="18"/>
      <w:szCs w:val="18"/>
    </w:rPr>
  </w:style>
  <w:style w:type="paragraph" w:customStyle="1" w:styleId="Index">
    <w:name w:val="Index"/>
    <w:basedOn w:val="Normal"/>
    <w:qFormat/>
    <w:pPr>
      <w:suppressLineNumbers/>
    </w:pPr>
    <w:rPr>
      <w:rFonts w:cs="Lucida Sans"/>
    </w:rPr>
  </w:style>
  <w:style w:type="paragraph" w:styleId="Header">
    <w:name w:val="header"/>
    <w:basedOn w:val="Normal"/>
    <w:link w:val="HeaderChar"/>
    <w:uiPriority w:val="99"/>
    <w:unhideWhenUsed/>
    <w:rsid w:val="00CC54BB"/>
    <w:pPr>
      <w:tabs>
        <w:tab w:val="center" w:pos="4513"/>
        <w:tab w:val="right" w:pos="9026"/>
      </w:tabs>
      <w:spacing w:after="0" w:line="240" w:lineRule="auto"/>
    </w:pPr>
  </w:style>
  <w:style w:type="paragraph" w:styleId="Footer">
    <w:name w:val="footer"/>
    <w:basedOn w:val="Normal"/>
    <w:link w:val="FooterChar"/>
    <w:uiPriority w:val="99"/>
    <w:unhideWhenUsed/>
    <w:rsid w:val="00CC54BB"/>
    <w:pPr>
      <w:tabs>
        <w:tab w:val="center" w:pos="4513"/>
        <w:tab w:val="right" w:pos="9026"/>
      </w:tabs>
      <w:spacing w:after="0" w:line="240" w:lineRule="auto"/>
    </w:pPr>
  </w:style>
  <w:style w:type="paragraph" w:styleId="BalloonText">
    <w:name w:val="Balloon Text"/>
    <w:basedOn w:val="Normal"/>
    <w:link w:val="BalloonTextChar"/>
    <w:uiPriority w:val="99"/>
    <w:semiHidden/>
    <w:unhideWhenUsed/>
    <w:qFormat/>
    <w:rsid w:val="00A4453C"/>
    <w:pPr>
      <w:spacing w:after="0" w:line="240" w:lineRule="auto"/>
    </w:pPr>
    <w:rPr>
      <w:rFonts w:ascii="Segoe UI" w:hAnsi="Segoe UI" w:cs="Segoe UI"/>
      <w:sz w:val="18"/>
      <w:szCs w:val="18"/>
    </w:rPr>
  </w:style>
  <w:style w:type="paragraph" w:styleId="ListParagraph">
    <w:name w:val="List Paragraph"/>
    <w:basedOn w:val="Normal"/>
    <w:uiPriority w:val="34"/>
    <w:qFormat/>
    <w:rsid w:val="008A650E"/>
    <w:pPr>
      <w:spacing w:line="360" w:lineRule="auto"/>
      <w:ind w:left="720"/>
      <w:contextualSpacing/>
    </w:pPr>
  </w:style>
  <w:style w:type="paragraph" w:styleId="TOC2">
    <w:name w:val="toc 2"/>
    <w:basedOn w:val="Normal"/>
    <w:next w:val="Normal"/>
    <w:autoRedefine/>
    <w:uiPriority w:val="39"/>
    <w:unhideWhenUsed/>
    <w:rsid w:val="0012599F"/>
    <w:pPr>
      <w:spacing w:after="0"/>
      <w:ind w:left="240"/>
    </w:pPr>
    <w:rPr>
      <w:rFonts w:asciiTheme="minorHAnsi" w:hAnsiTheme="minorHAnsi" w:cstheme="minorHAnsi"/>
      <w:smallCaps/>
      <w:sz w:val="20"/>
      <w:szCs w:val="20"/>
    </w:rPr>
  </w:style>
  <w:style w:type="paragraph" w:styleId="CommentText">
    <w:name w:val="annotation text"/>
    <w:basedOn w:val="Normal"/>
    <w:link w:val="CommentTextChar"/>
    <w:uiPriority w:val="99"/>
    <w:unhideWhenUsed/>
    <w:qFormat/>
    <w:rsid w:val="00BA4B12"/>
    <w:pPr>
      <w:spacing w:line="240" w:lineRule="auto"/>
    </w:pPr>
    <w:rPr>
      <w:sz w:val="20"/>
      <w:szCs w:val="20"/>
    </w:rPr>
  </w:style>
  <w:style w:type="paragraph" w:styleId="CommentSubject">
    <w:name w:val="annotation subject"/>
    <w:basedOn w:val="CommentText"/>
    <w:link w:val="CommentSubjectChar"/>
    <w:uiPriority w:val="99"/>
    <w:semiHidden/>
    <w:unhideWhenUsed/>
    <w:qFormat/>
    <w:rsid w:val="00BA4B12"/>
    <w:rPr>
      <w:b/>
      <w:bCs/>
    </w:rPr>
  </w:style>
  <w:style w:type="paragraph" w:styleId="Revision">
    <w:name w:val="Revision"/>
    <w:uiPriority w:val="99"/>
    <w:semiHidden/>
    <w:qFormat/>
    <w:rsid w:val="00BA4B12"/>
    <w:rPr>
      <w:sz w:val="24"/>
    </w:rPr>
  </w:style>
  <w:style w:type="paragraph" w:customStyle="1" w:styleId="pf0">
    <w:name w:val="pf0"/>
    <w:basedOn w:val="Normal"/>
    <w:qFormat/>
    <w:rsid w:val="00A175BB"/>
    <w:pPr>
      <w:spacing w:beforeAutospacing="1" w:afterAutospacing="1" w:line="240" w:lineRule="auto"/>
    </w:pPr>
    <w:rPr>
      <w:rFonts w:ascii="Times New Roman" w:eastAsia="Times New Roman" w:hAnsi="Times New Roman" w:cs="Times New Roman"/>
      <w:szCs w:val="24"/>
      <w:lang w:eastAsia="en-GB"/>
    </w:rPr>
  </w:style>
  <w:style w:type="paragraph" w:styleId="TOC3">
    <w:name w:val="toc 3"/>
    <w:basedOn w:val="Normal"/>
    <w:next w:val="Normal"/>
    <w:autoRedefine/>
    <w:uiPriority w:val="39"/>
    <w:unhideWhenUsed/>
    <w:rsid w:val="001C2D3B"/>
    <w:pPr>
      <w:spacing w:after="0"/>
      <w:ind w:left="480"/>
    </w:pPr>
    <w:rPr>
      <w:rFonts w:asciiTheme="minorHAnsi" w:hAnsiTheme="minorHAnsi" w:cstheme="minorHAnsi"/>
      <w:i/>
      <w:iCs/>
      <w:sz w:val="20"/>
      <w:szCs w:val="20"/>
    </w:rPr>
  </w:style>
  <w:style w:type="paragraph" w:styleId="EndnoteText">
    <w:name w:val="endnote text"/>
    <w:basedOn w:val="Normal"/>
    <w:link w:val="EndnoteTextChar"/>
    <w:uiPriority w:val="99"/>
    <w:semiHidden/>
    <w:unhideWhenUsed/>
    <w:rsid w:val="0050265C"/>
    <w:pPr>
      <w:spacing w:after="0" w:line="240" w:lineRule="auto"/>
    </w:pPr>
    <w:rPr>
      <w:rFonts w:asciiTheme="minorHAnsi" w:hAnsiTheme="minorHAnsi"/>
      <w:sz w:val="20"/>
      <w:szCs w:val="20"/>
    </w:rPr>
  </w:style>
  <w:style w:type="paragraph" w:styleId="Bibliography">
    <w:name w:val="Bibliography"/>
    <w:basedOn w:val="Normal"/>
    <w:next w:val="Normal"/>
    <w:uiPriority w:val="37"/>
    <w:unhideWhenUsed/>
    <w:qFormat/>
    <w:rsid w:val="00F07CDB"/>
    <w:pPr>
      <w:spacing w:after="0" w:line="240" w:lineRule="auto"/>
      <w:ind w:left="720" w:hanging="720"/>
    </w:pPr>
  </w:style>
  <w:style w:type="paragraph" w:styleId="NoSpacing">
    <w:name w:val="No Spacing"/>
    <w:link w:val="NoSpacingChar"/>
    <w:uiPriority w:val="1"/>
    <w:qFormat/>
    <w:rsid w:val="008B3F79"/>
    <w:rPr>
      <w:rFonts w:ascii="Calibri" w:eastAsiaTheme="minorEastAsia" w:hAnsi="Calibri" w:cs="Arial"/>
      <w:sz w:val="24"/>
      <w:lang w:eastAsia="en-GB"/>
    </w:rPr>
  </w:style>
  <w:style w:type="paragraph" w:styleId="FootnoteText">
    <w:name w:val="footnote text"/>
    <w:basedOn w:val="Normal"/>
    <w:link w:val="FootnoteTextChar"/>
    <w:uiPriority w:val="99"/>
    <w:unhideWhenUsed/>
    <w:rsid w:val="00C3787B"/>
    <w:pPr>
      <w:spacing w:after="0" w:line="240" w:lineRule="auto"/>
    </w:pPr>
    <w:rPr>
      <w:sz w:val="20"/>
      <w:szCs w:val="20"/>
    </w:rPr>
  </w:style>
  <w:style w:type="paragraph" w:styleId="NormalWeb">
    <w:name w:val="Normal (Web)"/>
    <w:basedOn w:val="Normal"/>
    <w:uiPriority w:val="99"/>
    <w:unhideWhenUsed/>
    <w:qFormat/>
    <w:rsid w:val="00D16CD8"/>
    <w:pPr>
      <w:spacing w:beforeAutospacing="1" w:afterAutospacing="1" w:line="240" w:lineRule="auto"/>
    </w:pPr>
    <w:rPr>
      <w:rFonts w:ascii="Times New Roman" w:eastAsia="Times New Roman" w:hAnsi="Times New Roman" w:cs="Times New Roman"/>
      <w:szCs w:val="24"/>
      <w:lang w:eastAsia="en-GB"/>
    </w:rPr>
  </w:style>
  <w:style w:type="paragraph" w:styleId="Quote">
    <w:name w:val="Quote"/>
    <w:basedOn w:val="Normal"/>
    <w:next w:val="Normal"/>
    <w:link w:val="QuoteChar"/>
    <w:uiPriority w:val="29"/>
    <w:qFormat/>
    <w:rsid w:val="005F7F29"/>
    <w:pPr>
      <w:spacing w:before="200"/>
      <w:ind w:left="864" w:right="864"/>
      <w:jc w:val="center"/>
    </w:pPr>
    <w:rPr>
      <w:i/>
      <w:iCs/>
      <w:color w:val="404040" w:themeColor="text1" w:themeTint="BF"/>
    </w:rPr>
  </w:style>
  <w:style w:type="paragraph" w:customStyle="1" w:styleId="ssrcss-1q0x1qg-paragraph">
    <w:name w:val="ssrcss-1q0x1qg-paragraph"/>
    <w:basedOn w:val="Normal"/>
    <w:qFormat/>
    <w:rsid w:val="00EB76A3"/>
    <w:pPr>
      <w:spacing w:beforeAutospacing="1" w:afterAutospacing="1" w:line="240" w:lineRule="auto"/>
    </w:pPr>
    <w:rPr>
      <w:rFonts w:ascii="Times New Roman" w:eastAsia="Times New Roman" w:hAnsi="Times New Roman" w:cs="Times New Roman"/>
      <w:szCs w:val="24"/>
      <w:lang w:eastAsia="en-GB"/>
    </w:rPr>
  </w:style>
  <w:style w:type="paragraph" w:customStyle="1" w:styleId="Body">
    <w:name w:val="Body"/>
    <w:qFormat/>
    <w:rsid w:val="00EB76A3"/>
    <w:pPr>
      <w:spacing w:after="200" w:line="276" w:lineRule="auto"/>
    </w:pPr>
    <w:rPr>
      <w:rFonts w:ascii="Cambria" w:eastAsia="Cambria" w:hAnsi="Cambria" w:cs="Cambria"/>
      <w:color w:val="000000"/>
      <w:sz w:val="24"/>
      <w:u w:color="000000"/>
      <w:lang w:eastAsia="en-GB"/>
      <w14:textOutline w14:w="0" w14:cap="flat" w14:cmpd="sng" w14:algn="ctr">
        <w14:noFill/>
        <w14:prstDash w14:val="solid"/>
        <w14:bevel/>
      </w14:textOutline>
    </w:rPr>
  </w:style>
  <w:style w:type="paragraph" w:customStyle="1" w:styleId="FrameContents">
    <w:name w:val="Frame Contents"/>
    <w:basedOn w:val="Normal"/>
    <w:qFormat/>
  </w:style>
  <w:style w:type="character" w:styleId="EndnoteReference">
    <w:name w:val="endnote reference"/>
    <w:basedOn w:val="DefaultParagraphFont"/>
    <w:uiPriority w:val="99"/>
    <w:semiHidden/>
    <w:unhideWhenUsed/>
    <w:rsid w:val="001808E0"/>
    <w:rPr>
      <w:vertAlign w:val="superscript"/>
    </w:rPr>
  </w:style>
  <w:style w:type="character" w:styleId="Hyperlink">
    <w:name w:val="Hyperlink"/>
    <w:basedOn w:val="DefaultParagraphFont"/>
    <w:uiPriority w:val="99"/>
    <w:unhideWhenUsed/>
    <w:qFormat/>
    <w:rsid w:val="00BA781E"/>
    <w:rPr>
      <w:color w:val="0563C1" w:themeColor="hyperlink"/>
      <w:u w:val="single"/>
    </w:rPr>
  </w:style>
  <w:style w:type="character" w:styleId="FootnoteReference">
    <w:name w:val="footnote reference"/>
    <w:basedOn w:val="DefaultParagraphFont"/>
    <w:uiPriority w:val="99"/>
    <w:unhideWhenUsed/>
    <w:rsid w:val="00BA781E"/>
    <w:rPr>
      <w:vertAlign w:val="superscript"/>
    </w:rPr>
  </w:style>
  <w:style w:type="paragraph" w:styleId="TOCHeading">
    <w:name w:val="TOC Heading"/>
    <w:basedOn w:val="Heading1"/>
    <w:next w:val="Normal"/>
    <w:uiPriority w:val="39"/>
    <w:unhideWhenUsed/>
    <w:qFormat/>
    <w:rsid w:val="00255D82"/>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255D82"/>
    <w:pPr>
      <w:spacing w:before="120" w:after="120"/>
    </w:pPr>
    <w:rPr>
      <w:rFonts w:asciiTheme="minorHAnsi" w:hAnsiTheme="minorHAnsi" w:cstheme="minorHAnsi"/>
      <w:b/>
      <w:bCs/>
      <w:caps/>
      <w:sz w:val="20"/>
      <w:szCs w:val="20"/>
    </w:rPr>
  </w:style>
  <w:style w:type="paragraph" w:styleId="TOC4">
    <w:name w:val="toc 4"/>
    <w:basedOn w:val="Normal"/>
    <w:next w:val="Normal"/>
    <w:autoRedefine/>
    <w:uiPriority w:val="39"/>
    <w:unhideWhenUsed/>
    <w:rsid w:val="00255D82"/>
    <w:pPr>
      <w:spacing w:after="0"/>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255D82"/>
    <w:pPr>
      <w:spacing w:after="0"/>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255D82"/>
    <w:pPr>
      <w:spacing w:after="0"/>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255D82"/>
    <w:pPr>
      <w:spacing w:after="0"/>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255D82"/>
    <w:pPr>
      <w:spacing w:after="0"/>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255D82"/>
    <w:pPr>
      <w:spacing w:after="0"/>
      <w:ind w:left="1920"/>
    </w:pPr>
    <w:rPr>
      <w:rFonts w:asciiTheme="minorHAnsi" w:hAnsiTheme="minorHAnsi" w:cstheme="minorHAnsi"/>
      <w:sz w:val="18"/>
      <w:szCs w:val="18"/>
    </w:rPr>
  </w:style>
  <w:style w:type="table" w:styleId="TableGrid">
    <w:name w:val="Table Grid"/>
    <w:basedOn w:val="TableNormal"/>
    <w:uiPriority w:val="39"/>
    <w:rsid w:val="00D86B71"/>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D86B71"/>
    <w:pPr>
      <w:spacing w:before="100" w:beforeAutospacing="1" w:after="100" w:afterAutospacing="1" w:line="240" w:lineRule="auto"/>
    </w:pPr>
    <w:rPr>
      <w:rFonts w:ascii="Times New Roman" w:eastAsia="Times New Roman" w:hAnsi="Times New Roman" w:cs="Times New Roman"/>
      <w:szCs w:val="24"/>
      <w:lang w:eastAsia="en-GB"/>
    </w:rPr>
  </w:style>
  <w:style w:type="paragraph" w:customStyle="1" w:styleId="xl67">
    <w:name w:val="xl67"/>
    <w:basedOn w:val="Normal"/>
    <w:rsid w:val="00D86B71"/>
    <w:pPr>
      <w:shd w:val="clear" w:color="000000" w:fill="E7E6E6"/>
      <w:spacing w:before="100" w:beforeAutospacing="1" w:after="100" w:afterAutospacing="1" w:line="240" w:lineRule="auto"/>
    </w:pPr>
    <w:rPr>
      <w:rFonts w:ascii="Times New Roman" w:eastAsia="Times New Roman" w:hAnsi="Times New Roman" w:cs="Times New Roman"/>
      <w:szCs w:val="24"/>
      <w:lang w:eastAsia="en-GB"/>
    </w:rPr>
  </w:style>
  <w:style w:type="numbering" w:customStyle="1" w:styleId="NoList1">
    <w:name w:val="No List1"/>
    <w:next w:val="NoList"/>
    <w:uiPriority w:val="99"/>
    <w:semiHidden/>
    <w:unhideWhenUsed/>
    <w:rsid w:val="00D86B71"/>
  </w:style>
  <w:style w:type="character" w:styleId="PageNumber">
    <w:name w:val="page number"/>
    <w:basedOn w:val="DefaultParagraphFont"/>
    <w:uiPriority w:val="99"/>
    <w:semiHidden/>
    <w:unhideWhenUsed/>
    <w:rsid w:val="00D86B71"/>
  </w:style>
  <w:style w:type="table" w:styleId="TableGridLight">
    <w:name w:val="Grid Table Light"/>
    <w:basedOn w:val="TableNormal"/>
    <w:uiPriority w:val="40"/>
    <w:rsid w:val="00D86B71"/>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12">
    <w:name w:val="s12"/>
    <w:basedOn w:val="Normal"/>
    <w:rsid w:val="00287443"/>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s3">
    <w:name w:val="s3"/>
    <w:basedOn w:val="DefaultParagraphFont"/>
    <w:rsid w:val="00287443"/>
  </w:style>
  <w:style w:type="paragraph" w:customStyle="1" w:styleId="s15">
    <w:name w:val="s15"/>
    <w:basedOn w:val="Normal"/>
    <w:rsid w:val="00287443"/>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s14">
    <w:name w:val="s14"/>
    <w:basedOn w:val="DefaultParagraphFont"/>
    <w:rsid w:val="00150766"/>
  </w:style>
  <w:style w:type="paragraph" w:customStyle="1" w:styleId="Style1">
    <w:name w:val="Style1"/>
    <w:basedOn w:val="Heading3"/>
    <w:qFormat/>
    <w:rsid w:val="001E678E"/>
    <w:rPr>
      <w:rFonts w:ascii="Times New Roman" w:hAnsi="Times New Roman" w:cs="Times New Roman"/>
      <w:szCs w:val="24"/>
    </w:rPr>
  </w:style>
  <w:style w:type="paragraph" w:styleId="Title">
    <w:name w:val="Title"/>
    <w:basedOn w:val="Normal"/>
    <w:next w:val="Normal"/>
    <w:link w:val="TitleChar"/>
    <w:uiPriority w:val="10"/>
    <w:qFormat/>
    <w:rsid w:val="00F92FC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2FC8"/>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7264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29923">
      <w:bodyDiv w:val="1"/>
      <w:marLeft w:val="0"/>
      <w:marRight w:val="0"/>
      <w:marTop w:val="0"/>
      <w:marBottom w:val="0"/>
      <w:divBdr>
        <w:top w:val="none" w:sz="0" w:space="0" w:color="auto"/>
        <w:left w:val="none" w:sz="0" w:space="0" w:color="auto"/>
        <w:bottom w:val="none" w:sz="0" w:space="0" w:color="auto"/>
        <w:right w:val="none" w:sz="0" w:space="0" w:color="auto"/>
      </w:divBdr>
      <w:divsChild>
        <w:div w:id="1531138574">
          <w:marLeft w:val="480"/>
          <w:marRight w:val="0"/>
          <w:marTop w:val="0"/>
          <w:marBottom w:val="0"/>
          <w:divBdr>
            <w:top w:val="none" w:sz="0" w:space="0" w:color="auto"/>
            <w:left w:val="none" w:sz="0" w:space="0" w:color="auto"/>
            <w:bottom w:val="none" w:sz="0" w:space="0" w:color="auto"/>
            <w:right w:val="none" w:sz="0" w:space="0" w:color="auto"/>
          </w:divBdr>
          <w:divsChild>
            <w:div w:id="137646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4468">
      <w:bodyDiv w:val="1"/>
      <w:marLeft w:val="0"/>
      <w:marRight w:val="0"/>
      <w:marTop w:val="0"/>
      <w:marBottom w:val="0"/>
      <w:divBdr>
        <w:top w:val="none" w:sz="0" w:space="0" w:color="auto"/>
        <w:left w:val="none" w:sz="0" w:space="0" w:color="auto"/>
        <w:bottom w:val="none" w:sz="0" w:space="0" w:color="auto"/>
        <w:right w:val="none" w:sz="0" w:space="0" w:color="auto"/>
      </w:divBdr>
      <w:divsChild>
        <w:div w:id="2012026154">
          <w:marLeft w:val="0"/>
          <w:marRight w:val="0"/>
          <w:marTop w:val="0"/>
          <w:marBottom w:val="0"/>
          <w:divBdr>
            <w:top w:val="none" w:sz="0" w:space="0" w:color="auto"/>
            <w:left w:val="none" w:sz="0" w:space="0" w:color="auto"/>
            <w:bottom w:val="none" w:sz="0" w:space="0" w:color="auto"/>
            <w:right w:val="none" w:sz="0" w:space="0" w:color="auto"/>
          </w:divBdr>
        </w:div>
      </w:divsChild>
    </w:div>
    <w:div w:id="341977112">
      <w:bodyDiv w:val="1"/>
      <w:marLeft w:val="0"/>
      <w:marRight w:val="0"/>
      <w:marTop w:val="0"/>
      <w:marBottom w:val="0"/>
      <w:divBdr>
        <w:top w:val="none" w:sz="0" w:space="0" w:color="auto"/>
        <w:left w:val="none" w:sz="0" w:space="0" w:color="auto"/>
        <w:bottom w:val="none" w:sz="0" w:space="0" w:color="auto"/>
        <w:right w:val="none" w:sz="0" w:space="0" w:color="auto"/>
      </w:divBdr>
      <w:divsChild>
        <w:div w:id="1569343397">
          <w:marLeft w:val="480"/>
          <w:marRight w:val="0"/>
          <w:marTop w:val="0"/>
          <w:marBottom w:val="0"/>
          <w:divBdr>
            <w:top w:val="none" w:sz="0" w:space="0" w:color="auto"/>
            <w:left w:val="none" w:sz="0" w:space="0" w:color="auto"/>
            <w:bottom w:val="none" w:sz="0" w:space="0" w:color="auto"/>
            <w:right w:val="none" w:sz="0" w:space="0" w:color="auto"/>
          </w:divBdr>
          <w:divsChild>
            <w:div w:id="58946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8424">
      <w:bodyDiv w:val="1"/>
      <w:marLeft w:val="0"/>
      <w:marRight w:val="0"/>
      <w:marTop w:val="0"/>
      <w:marBottom w:val="0"/>
      <w:divBdr>
        <w:top w:val="none" w:sz="0" w:space="0" w:color="auto"/>
        <w:left w:val="none" w:sz="0" w:space="0" w:color="auto"/>
        <w:bottom w:val="none" w:sz="0" w:space="0" w:color="auto"/>
        <w:right w:val="none" w:sz="0" w:space="0" w:color="auto"/>
      </w:divBdr>
    </w:div>
    <w:div w:id="449204490">
      <w:bodyDiv w:val="1"/>
      <w:marLeft w:val="0"/>
      <w:marRight w:val="0"/>
      <w:marTop w:val="0"/>
      <w:marBottom w:val="0"/>
      <w:divBdr>
        <w:top w:val="none" w:sz="0" w:space="0" w:color="auto"/>
        <w:left w:val="none" w:sz="0" w:space="0" w:color="auto"/>
        <w:bottom w:val="none" w:sz="0" w:space="0" w:color="auto"/>
        <w:right w:val="none" w:sz="0" w:space="0" w:color="auto"/>
      </w:divBdr>
    </w:div>
    <w:div w:id="498153369">
      <w:bodyDiv w:val="1"/>
      <w:marLeft w:val="0"/>
      <w:marRight w:val="0"/>
      <w:marTop w:val="0"/>
      <w:marBottom w:val="0"/>
      <w:divBdr>
        <w:top w:val="none" w:sz="0" w:space="0" w:color="auto"/>
        <w:left w:val="none" w:sz="0" w:space="0" w:color="auto"/>
        <w:bottom w:val="none" w:sz="0" w:space="0" w:color="auto"/>
        <w:right w:val="none" w:sz="0" w:space="0" w:color="auto"/>
      </w:divBdr>
    </w:div>
    <w:div w:id="505632473">
      <w:bodyDiv w:val="1"/>
      <w:marLeft w:val="0"/>
      <w:marRight w:val="0"/>
      <w:marTop w:val="0"/>
      <w:marBottom w:val="0"/>
      <w:divBdr>
        <w:top w:val="none" w:sz="0" w:space="0" w:color="auto"/>
        <w:left w:val="none" w:sz="0" w:space="0" w:color="auto"/>
        <w:bottom w:val="none" w:sz="0" w:space="0" w:color="auto"/>
        <w:right w:val="none" w:sz="0" w:space="0" w:color="auto"/>
      </w:divBdr>
    </w:div>
    <w:div w:id="529102493">
      <w:bodyDiv w:val="1"/>
      <w:marLeft w:val="0"/>
      <w:marRight w:val="0"/>
      <w:marTop w:val="0"/>
      <w:marBottom w:val="0"/>
      <w:divBdr>
        <w:top w:val="none" w:sz="0" w:space="0" w:color="auto"/>
        <w:left w:val="none" w:sz="0" w:space="0" w:color="auto"/>
        <w:bottom w:val="none" w:sz="0" w:space="0" w:color="auto"/>
        <w:right w:val="none" w:sz="0" w:space="0" w:color="auto"/>
      </w:divBdr>
      <w:divsChild>
        <w:div w:id="1365911515">
          <w:marLeft w:val="480"/>
          <w:marRight w:val="0"/>
          <w:marTop w:val="0"/>
          <w:marBottom w:val="0"/>
          <w:divBdr>
            <w:top w:val="none" w:sz="0" w:space="0" w:color="auto"/>
            <w:left w:val="none" w:sz="0" w:space="0" w:color="auto"/>
            <w:bottom w:val="none" w:sz="0" w:space="0" w:color="auto"/>
            <w:right w:val="none" w:sz="0" w:space="0" w:color="auto"/>
          </w:divBdr>
          <w:divsChild>
            <w:div w:id="1571848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9761">
      <w:bodyDiv w:val="1"/>
      <w:marLeft w:val="0"/>
      <w:marRight w:val="0"/>
      <w:marTop w:val="0"/>
      <w:marBottom w:val="0"/>
      <w:divBdr>
        <w:top w:val="none" w:sz="0" w:space="0" w:color="auto"/>
        <w:left w:val="none" w:sz="0" w:space="0" w:color="auto"/>
        <w:bottom w:val="none" w:sz="0" w:space="0" w:color="auto"/>
        <w:right w:val="none" w:sz="0" w:space="0" w:color="auto"/>
      </w:divBdr>
      <w:divsChild>
        <w:div w:id="975185647">
          <w:marLeft w:val="480"/>
          <w:marRight w:val="0"/>
          <w:marTop w:val="0"/>
          <w:marBottom w:val="0"/>
          <w:divBdr>
            <w:top w:val="none" w:sz="0" w:space="0" w:color="auto"/>
            <w:left w:val="none" w:sz="0" w:space="0" w:color="auto"/>
            <w:bottom w:val="none" w:sz="0" w:space="0" w:color="auto"/>
            <w:right w:val="none" w:sz="0" w:space="0" w:color="auto"/>
          </w:divBdr>
          <w:divsChild>
            <w:div w:id="54621697">
              <w:marLeft w:val="0"/>
              <w:marRight w:val="0"/>
              <w:marTop w:val="0"/>
              <w:marBottom w:val="240"/>
              <w:divBdr>
                <w:top w:val="none" w:sz="0" w:space="0" w:color="auto"/>
                <w:left w:val="none" w:sz="0" w:space="0" w:color="auto"/>
                <w:bottom w:val="none" w:sz="0" w:space="0" w:color="auto"/>
                <w:right w:val="none" w:sz="0" w:space="0" w:color="auto"/>
              </w:divBdr>
            </w:div>
            <w:div w:id="67530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183446">
      <w:bodyDiv w:val="1"/>
      <w:marLeft w:val="0"/>
      <w:marRight w:val="0"/>
      <w:marTop w:val="0"/>
      <w:marBottom w:val="0"/>
      <w:divBdr>
        <w:top w:val="none" w:sz="0" w:space="0" w:color="auto"/>
        <w:left w:val="none" w:sz="0" w:space="0" w:color="auto"/>
        <w:bottom w:val="none" w:sz="0" w:space="0" w:color="auto"/>
        <w:right w:val="none" w:sz="0" w:space="0" w:color="auto"/>
      </w:divBdr>
      <w:divsChild>
        <w:div w:id="1678648951">
          <w:marLeft w:val="480"/>
          <w:marRight w:val="0"/>
          <w:marTop w:val="0"/>
          <w:marBottom w:val="0"/>
          <w:divBdr>
            <w:top w:val="none" w:sz="0" w:space="0" w:color="auto"/>
            <w:left w:val="none" w:sz="0" w:space="0" w:color="auto"/>
            <w:bottom w:val="none" w:sz="0" w:space="0" w:color="auto"/>
            <w:right w:val="none" w:sz="0" w:space="0" w:color="auto"/>
          </w:divBdr>
          <w:divsChild>
            <w:div w:id="1903371580">
              <w:marLeft w:val="0"/>
              <w:marRight w:val="0"/>
              <w:marTop w:val="0"/>
              <w:marBottom w:val="240"/>
              <w:divBdr>
                <w:top w:val="none" w:sz="0" w:space="0" w:color="auto"/>
                <w:left w:val="none" w:sz="0" w:space="0" w:color="auto"/>
                <w:bottom w:val="none" w:sz="0" w:space="0" w:color="auto"/>
                <w:right w:val="none" w:sz="0" w:space="0" w:color="auto"/>
              </w:divBdr>
            </w:div>
            <w:div w:id="26287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873880">
      <w:bodyDiv w:val="1"/>
      <w:marLeft w:val="0"/>
      <w:marRight w:val="0"/>
      <w:marTop w:val="0"/>
      <w:marBottom w:val="0"/>
      <w:divBdr>
        <w:top w:val="none" w:sz="0" w:space="0" w:color="auto"/>
        <w:left w:val="none" w:sz="0" w:space="0" w:color="auto"/>
        <w:bottom w:val="none" w:sz="0" w:space="0" w:color="auto"/>
        <w:right w:val="none" w:sz="0" w:space="0" w:color="auto"/>
      </w:divBdr>
      <w:divsChild>
        <w:div w:id="655230754">
          <w:marLeft w:val="480"/>
          <w:marRight w:val="0"/>
          <w:marTop w:val="0"/>
          <w:marBottom w:val="0"/>
          <w:divBdr>
            <w:top w:val="none" w:sz="0" w:space="0" w:color="auto"/>
            <w:left w:val="none" w:sz="0" w:space="0" w:color="auto"/>
            <w:bottom w:val="none" w:sz="0" w:space="0" w:color="auto"/>
            <w:right w:val="none" w:sz="0" w:space="0" w:color="auto"/>
          </w:divBdr>
          <w:divsChild>
            <w:div w:id="13048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968836">
      <w:bodyDiv w:val="1"/>
      <w:marLeft w:val="0"/>
      <w:marRight w:val="0"/>
      <w:marTop w:val="0"/>
      <w:marBottom w:val="0"/>
      <w:divBdr>
        <w:top w:val="none" w:sz="0" w:space="0" w:color="auto"/>
        <w:left w:val="none" w:sz="0" w:space="0" w:color="auto"/>
        <w:bottom w:val="none" w:sz="0" w:space="0" w:color="auto"/>
        <w:right w:val="none" w:sz="0" w:space="0" w:color="auto"/>
      </w:divBdr>
    </w:div>
    <w:div w:id="886795482">
      <w:bodyDiv w:val="1"/>
      <w:marLeft w:val="0"/>
      <w:marRight w:val="0"/>
      <w:marTop w:val="0"/>
      <w:marBottom w:val="0"/>
      <w:divBdr>
        <w:top w:val="none" w:sz="0" w:space="0" w:color="auto"/>
        <w:left w:val="none" w:sz="0" w:space="0" w:color="auto"/>
        <w:bottom w:val="none" w:sz="0" w:space="0" w:color="auto"/>
        <w:right w:val="none" w:sz="0" w:space="0" w:color="auto"/>
      </w:divBdr>
      <w:divsChild>
        <w:div w:id="1760324552">
          <w:marLeft w:val="0"/>
          <w:marRight w:val="0"/>
          <w:marTop w:val="0"/>
          <w:marBottom w:val="0"/>
          <w:divBdr>
            <w:top w:val="none" w:sz="0" w:space="0" w:color="auto"/>
            <w:left w:val="none" w:sz="0" w:space="0" w:color="auto"/>
            <w:bottom w:val="none" w:sz="0" w:space="0" w:color="auto"/>
            <w:right w:val="none" w:sz="0" w:space="0" w:color="auto"/>
          </w:divBdr>
          <w:divsChild>
            <w:div w:id="647981103">
              <w:marLeft w:val="0"/>
              <w:marRight w:val="0"/>
              <w:marTop w:val="0"/>
              <w:marBottom w:val="0"/>
              <w:divBdr>
                <w:top w:val="none" w:sz="0" w:space="0" w:color="auto"/>
                <w:left w:val="none" w:sz="0" w:space="0" w:color="auto"/>
                <w:bottom w:val="none" w:sz="0" w:space="0" w:color="auto"/>
                <w:right w:val="none" w:sz="0" w:space="0" w:color="auto"/>
              </w:divBdr>
            </w:div>
          </w:divsChild>
        </w:div>
        <w:div w:id="1780566082">
          <w:marLeft w:val="0"/>
          <w:marRight w:val="0"/>
          <w:marTop w:val="0"/>
          <w:marBottom w:val="0"/>
          <w:divBdr>
            <w:top w:val="none" w:sz="0" w:space="0" w:color="auto"/>
            <w:left w:val="none" w:sz="0" w:space="0" w:color="auto"/>
            <w:bottom w:val="none" w:sz="0" w:space="0" w:color="auto"/>
            <w:right w:val="none" w:sz="0" w:space="0" w:color="auto"/>
          </w:divBdr>
          <w:divsChild>
            <w:div w:id="2136217665">
              <w:marLeft w:val="0"/>
              <w:marRight w:val="0"/>
              <w:marTop w:val="0"/>
              <w:marBottom w:val="0"/>
              <w:divBdr>
                <w:top w:val="none" w:sz="0" w:space="0" w:color="auto"/>
                <w:left w:val="none" w:sz="0" w:space="0" w:color="auto"/>
                <w:bottom w:val="none" w:sz="0" w:space="0" w:color="auto"/>
                <w:right w:val="none" w:sz="0" w:space="0" w:color="auto"/>
              </w:divBdr>
            </w:div>
            <w:div w:id="194545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331855">
      <w:bodyDiv w:val="1"/>
      <w:marLeft w:val="0"/>
      <w:marRight w:val="0"/>
      <w:marTop w:val="0"/>
      <w:marBottom w:val="0"/>
      <w:divBdr>
        <w:top w:val="none" w:sz="0" w:space="0" w:color="auto"/>
        <w:left w:val="none" w:sz="0" w:space="0" w:color="auto"/>
        <w:bottom w:val="none" w:sz="0" w:space="0" w:color="auto"/>
        <w:right w:val="none" w:sz="0" w:space="0" w:color="auto"/>
      </w:divBdr>
      <w:divsChild>
        <w:div w:id="1711108582">
          <w:marLeft w:val="480"/>
          <w:marRight w:val="0"/>
          <w:marTop w:val="0"/>
          <w:marBottom w:val="0"/>
          <w:divBdr>
            <w:top w:val="none" w:sz="0" w:space="0" w:color="auto"/>
            <w:left w:val="none" w:sz="0" w:space="0" w:color="auto"/>
            <w:bottom w:val="none" w:sz="0" w:space="0" w:color="auto"/>
            <w:right w:val="none" w:sz="0" w:space="0" w:color="auto"/>
          </w:divBdr>
          <w:divsChild>
            <w:div w:id="14925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320088">
      <w:bodyDiv w:val="1"/>
      <w:marLeft w:val="0"/>
      <w:marRight w:val="0"/>
      <w:marTop w:val="0"/>
      <w:marBottom w:val="0"/>
      <w:divBdr>
        <w:top w:val="none" w:sz="0" w:space="0" w:color="auto"/>
        <w:left w:val="none" w:sz="0" w:space="0" w:color="auto"/>
        <w:bottom w:val="none" w:sz="0" w:space="0" w:color="auto"/>
        <w:right w:val="none" w:sz="0" w:space="0" w:color="auto"/>
      </w:divBdr>
    </w:div>
    <w:div w:id="1102728732">
      <w:bodyDiv w:val="1"/>
      <w:marLeft w:val="0"/>
      <w:marRight w:val="0"/>
      <w:marTop w:val="0"/>
      <w:marBottom w:val="0"/>
      <w:divBdr>
        <w:top w:val="none" w:sz="0" w:space="0" w:color="auto"/>
        <w:left w:val="none" w:sz="0" w:space="0" w:color="auto"/>
        <w:bottom w:val="none" w:sz="0" w:space="0" w:color="auto"/>
        <w:right w:val="none" w:sz="0" w:space="0" w:color="auto"/>
      </w:divBdr>
      <w:divsChild>
        <w:div w:id="1439564258">
          <w:marLeft w:val="480"/>
          <w:marRight w:val="0"/>
          <w:marTop w:val="0"/>
          <w:marBottom w:val="0"/>
          <w:divBdr>
            <w:top w:val="none" w:sz="0" w:space="0" w:color="auto"/>
            <w:left w:val="none" w:sz="0" w:space="0" w:color="auto"/>
            <w:bottom w:val="none" w:sz="0" w:space="0" w:color="auto"/>
            <w:right w:val="none" w:sz="0" w:space="0" w:color="auto"/>
          </w:divBdr>
          <w:divsChild>
            <w:div w:id="15987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470989">
      <w:bodyDiv w:val="1"/>
      <w:marLeft w:val="0"/>
      <w:marRight w:val="0"/>
      <w:marTop w:val="0"/>
      <w:marBottom w:val="0"/>
      <w:divBdr>
        <w:top w:val="none" w:sz="0" w:space="0" w:color="auto"/>
        <w:left w:val="none" w:sz="0" w:space="0" w:color="auto"/>
        <w:bottom w:val="none" w:sz="0" w:space="0" w:color="auto"/>
        <w:right w:val="none" w:sz="0" w:space="0" w:color="auto"/>
      </w:divBdr>
    </w:div>
    <w:div w:id="1306546249">
      <w:bodyDiv w:val="1"/>
      <w:marLeft w:val="0"/>
      <w:marRight w:val="0"/>
      <w:marTop w:val="0"/>
      <w:marBottom w:val="0"/>
      <w:divBdr>
        <w:top w:val="none" w:sz="0" w:space="0" w:color="auto"/>
        <w:left w:val="none" w:sz="0" w:space="0" w:color="auto"/>
        <w:bottom w:val="none" w:sz="0" w:space="0" w:color="auto"/>
        <w:right w:val="none" w:sz="0" w:space="0" w:color="auto"/>
      </w:divBdr>
      <w:divsChild>
        <w:div w:id="326790073">
          <w:marLeft w:val="480"/>
          <w:marRight w:val="0"/>
          <w:marTop w:val="0"/>
          <w:marBottom w:val="0"/>
          <w:divBdr>
            <w:top w:val="none" w:sz="0" w:space="0" w:color="auto"/>
            <w:left w:val="none" w:sz="0" w:space="0" w:color="auto"/>
            <w:bottom w:val="none" w:sz="0" w:space="0" w:color="auto"/>
            <w:right w:val="none" w:sz="0" w:space="0" w:color="auto"/>
          </w:divBdr>
          <w:divsChild>
            <w:div w:id="41078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747132">
      <w:bodyDiv w:val="1"/>
      <w:marLeft w:val="0"/>
      <w:marRight w:val="0"/>
      <w:marTop w:val="0"/>
      <w:marBottom w:val="0"/>
      <w:divBdr>
        <w:top w:val="none" w:sz="0" w:space="0" w:color="auto"/>
        <w:left w:val="none" w:sz="0" w:space="0" w:color="auto"/>
        <w:bottom w:val="none" w:sz="0" w:space="0" w:color="auto"/>
        <w:right w:val="none" w:sz="0" w:space="0" w:color="auto"/>
      </w:divBdr>
      <w:divsChild>
        <w:div w:id="1869445383">
          <w:marLeft w:val="0"/>
          <w:marRight w:val="0"/>
          <w:marTop w:val="240"/>
          <w:marBottom w:val="240"/>
          <w:divBdr>
            <w:top w:val="none" w:sz="0" w:space="0" w:color="auto"/>
            <w:left w:val="none" w:sz="0" w:space="0" w:color="auto"/>
            <w:bottom w:val="none" w:sz="0" w:space="0" w:color="auto"/>
            <w:right w:val="none" w:sz="0" w:space="0" w:color="auto"/>
          </w:divBdr>
        </w:div>
        <w:div w:id="869225970">
          <w:marLeft w:val="0"/>
          <w:marRight w:val="0"/>
          <w:marTop w:val="240"/>
          <w:marBottom w:val="240"/>
          <w:divBdr>
            <w:top w:val="none" w:sz="0" w:space="0" w:color="auto"/>
            <w:left w:val="none" w:sz="0" w:space="0" w:color="auto"/>
            <w:bottom w:val="none" w:sz="0" w:space="0" w:color="auto"/>
            <w:right w:val="none" w:sz="0" w:space="0" w:color="auto"/>
          </w:divBdr>
        </w:div>
      </w:divsChild>
    </w:div>
    <w:div w:id="1353649938">
      <w:bodyDiv w:val="1"/>
      <w:marLeft w:val="0"/>
      <w:marRight w:val="0"/>
      <w:marTop w:val="0"/>
      <w:marBottom w:val="0"/>
      <w:divBdr>
        <w:top w:val="none" w:sz="0" w:space="0" w:color="auto"/>
        <w:left w:val="none" w:sz="0" w:space="0" w:color="auto"/>
        <w:bottom w:val="none" w:sz="0" w:space="0" w:color="auto"/>
        <w:right w:val="none" w:sz="0" w:space="0" w:color="auto"/>
      </w:divBdr>
    </w:div>
    <w:div w:id="1354695463">
      <w:bodyDiv w:val="1"/>
      <w:marLeft w:val="0"/>
      <w:marRight w:val="0"/>
      <w:marTop w:val="0"/>
      <w:marBottom w:val="0"/>
      <w:divBdr>
        <w:top w:val="none" w:sz="0" w:space="0" w:color="auto"/>
        <w:left w:val="none" w:sz="0" w:space="0" w:color="auto"/>
        <w:bottom w:val="none" w:sz="0" w:space="0" w:color="auto"/>
        <w:right w:val="none" w:sz="0" w:space="0" w:color="auto"/>
      </w:divBdr>
      <w:divsChild>
        <w:div w:id="1250119024">
          <w:marLeft w:val="480"/>
          <w:marRight w:val="0"/>
          <w:marTop w:val="0"/>
          <w:marBottom w:val="0"/>
          <w:divBdr>
            <w:top w:val="none" w:sz="0" w:space="0" w:color="auto"/>
            <w:left w:val="none" w:sz="0" w:space="0" w:color="auto"/>
            <w:bottom w:val="none" w:sz="0" w:space="0" w:color="auto"/>
            <w:right w:val="none" w:sz="0" w:space="0" w:color="auto"/>
          </w:divBdr>
          <w:divsChild>
            <w:div w:id="5978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47661">
      <w:bodyDiv w:val="1"/>
      <w:marLeft w:val="0"/>
      <w:marRight w:val="0"/>
      <w:marTop w:val="0"/>
      <w:marBottom w:val="0"/>
      <w:divBdr>
        <w:top w:val="none" w:sz="0" w:space="0" w:color="auto"/>
        <w:left w:val="none" w:sz="0" w:space="0" w:color="auto"/>
        <w:bottom w:val="none" w:sz="0" w:space="0" w:color="auto"/>
        <w:right w:val="none" w:sz="0" w:space="0" w:color="auto"/>
      </w:divBdr>
      <w:divsChild>
        <w:div w:id="1844930769">
          <w:marLeft w:val="480"/>
          <w:marRight w:val="0"/>
          <w:marTop w:val="0"/>
          <w:marBottom w:val="0"/>
          <w:divBdr>
            <w:top w:val="none" w:sz="0" w:space="0" w:color="auto"/>
            <w:left w:val="none" w:sz="0" w:space="0" w:color="auto"/>
            <w:bottom w:val="none" w:sz="0" w:space="0" w:color="auto"/>
            <w:right w:val="none" w:sz="0" w:space="0" w:color="auto"/>
          </w:divBdr>
          <w:divsChild>
            <w:div w:id="3685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11003">
      <w:bodyDiv w:val="1"/>
      <w:marLeft w:val="0"/>
      <w:marRight w:val="0"/>
      <w:marTop w:val="0"/>
      <w:marBottom w:val="0"/>
      <w:divBdr>
        <w:top w:val="none" w:sz="0" w:space="0" w:color="auto"/>
        <w:left w:val="none" w:sz="0" w:space="0" w:color="auto"/>
        <w:bottom w:val="none" w:sz="0" w:space="0" w:color="auto"/>
        <w:right w:val="none" w:sz="0" w:space="0" w:color="auto"/>
      </w:divBdr>
    </w:div>
    <w:div w:id="1456872951">
      <w:bodyDiv w:val="1"/>
      <w:marLeft w:val="0"/>
      <w:marRight w:val="0"/>
      <w:marTop w:val="0"/>
      <w:marBottom w:val="0"/>
      <w:divBdr>
        <w:top w:val="none" w:sz="0" w:space="0" w:color="auto"/>
        <w:left w:val="none" w:sz="0" w:space="0" w:color="auto"/>
        <w:bottom w:val="none" w:sz="0" w:space="0" w:color="auto"/>
        <w:right w:val="none" w:sz="0" w:space="0" w:color="auto"/>
      </w:divBdr>
    </w:div>
    <w:div w:id="1490946215">
      <w:bodyDiv w:val="1"/>
      <w:marLeft w:val="0"/>
      <w:marRight w:val="0"/>
      <w:marTop w:val="0"/>
      <w:marBottom w:val="0"/>
      <w:divBdr>
        <w:top w:val="none" w:sz="0" w:space="0" w:color="auto"/>
        <w:left w:val="none" w:sz="0" w:space="0" w:color="auto"/>
        <w:bottom w:val="none" w:sz="0" w:space="0" w:color="auto"/>
        <w:right w:val="none" w:sz="0" w:space="0" w:color="auto"/>
      </w:divBdr>
    </w:div>
    <w:div w:id="1513687332">
      <w:bodyDiv w:val="1"/>
      <w:marLeft w:val="0"/>
      <w:marRight w:val="0"/>
      <w:marTop w:val="0"/>
      <w:marBottom w:val="0"/>
      <w:divBdr>
        <w:top w:val="none" w:sz="0" w:space="0" w:color="auto"/>
        <w:left w:val="none" w:sz="0" w:space="0" w:color="auto"/>
        <w:bottom w:val="none" w:sz="0" w:space="0" w:color="auto"/>
        <w:right w:val="none" w:sz="0" w:space="0" w:color="auto"/>
      </w:divBdr>
      <w:divsChild>
        <w:div w:id="1826965955">
          <w:marLeft w:val="480"/>
          <w:marRight w:val="0"/>
          <w:marTop w:val="0"/>
          <w:marBottom w:val="0"/>
          <w:divBdr>
            <w:top w:val="none" w:sz="0" w:space="0" w:color="auto"/>
            <w:left w:val="none" w:sz="0" w:space="0" w:color="auto"/>
            <w:bottom w:val="none" w:sz="0" w:space="0" w:color="auto"/>
            <w:right w:val="none" w:sz="0" w:space="0" w:color="auto"/>
          </w:divBdr>
          <w:divsChild>
            <w:div w:id="189762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19728">
      <w:bodyDiv w:val="1"/>
      <w:marLeft w:val="0"/>
      <w:marRight w:val="0"/>
      <w:marTop w:val="0"/>
      <w:marBottom w:val="0"/>
      <w:divBdr>
        <w:top w:val="none" w:sz="0" w:space="0" w:color="auto"/>
        <w:left w:val="none" w:sz="0" w:space="0" w:color="auto"/>
        <w:bottom w:val="none" w:sz="0" w:space="0" w:color="auto"/>
        <w:right w:val="none" w:sz="0" w:space="0" w:color="auto"/>
      </w:divBdr>
      <w:divsChild>
        <w:div w:id="1021662139">
          <w:marLeft w:val="480"/>
          <w:marRight w:val="0"/>
          <w:marTop w:val="0"/>
          <w:marBottom w:val="0"/>
          <w:divBdr>
            <w:top w:val="none" w:sz="0" w:space="0" w:color="auto"/>
            <w:left w:val="none" w:sz="0" w:space="0" w:color="auto"/>
            <w:bottom w:val="none" w:sz="0" w:space="0" w:color="auto"/>
            <w:right w:val="none" w:sz="0" w:space="0" w:color="auto"/>
          </w:divBdr>
          <w:divsChild>
            <w:div w:id="144787897">
              <w:marLeft w:val="0"/>
              <w:marRight w:val="0"/>
              <w:marTop w:val="0"/>
              <w:marBottom w:val="240"/>
              <w:divBdr>
                <w:top w:val="none" w:sz="0" w:space="0" w:color="auto"/>
                <w:left w:val="none" w:sz="0" w:space="0" w:color="auto"/>
                <w:bottom w:val="none" w:sz="0" w:space="0" w:color="auto"/>
                <w:right w:val="none" w:sz="0" w:space="0" w:color="auto"/>
              </w:divBdr>
            </w:div>
            <w:div w:id="128083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574007">
      <w:bodyDiv w:val="1"/>
      <w:marLeft w:val="0"/>
      <w:marRight w:val="0"/>
      <w:marTop w:val="0"/>
      <w:marBottom w:val="0"/>
      <w:divBdr>
        <w:top w:val="none" w:sz="0" w:space="0" w:color="auto"/>
        <w:left w:val="none" w:sz="0" w:space="0" w:color="auto"/>
        <w:bottom w:val="none" w:sz="0" w:space="0" w:color="auto"/>
        <w:right w:val="none" w:sz="0" w:space="0" w:color="auto"/>
      </w:divBdr>
      <w:divsChild>
        <w:div w:id="1680355264">
          <w:marLeft w:val="480"/>
          <w:marRight w:val="0"/>
          <w:marTop w:val="0"/>
          <w:marBottom w:val="0"/>
          <w:divBdr>
            <w:top w:val="none" w:sz="0" w:space="0" w:color="auto"/>
            <w:left w:val="none" w:sz="0" w:space="0" w:color="auto"/>
            <w:bottom w:val="none" w:sz="0" w:space="0" w:color="auto"/>
            <w:right w:val="none" w:sz="0" w:space="0" w:color="auto"/>
          </w:divBdr>
          <w:divsChild>
            <w:div w:id="153761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10943">
      <w:bodyDiv w:val="1"/>
      <w:marLeft w:val="0"/>
      <w:marRight w:val="0"/>
      <w:marTop w:val="0"/>
      <w:marBottom w:val="0"/>
      <w:divBdr>
        <w:top w:val="none" w:sz="0" w:space="0" w:color="auto"/>
        <w:left w:val="none" w:sz="0" w:space="0" w:color="auto"/>
        <w:bottom w:val="none" w:sz="0" w:space="0" w:color="auto"/>
        <w:right w:val="none" w:sz="0" w:space="0" w:color="auto"/>
      </w:divBdr>
      <w:divsChild>
        <w:div w:id="564142809">
          <w:marLeft w:val="480"/>
          <w:marRight w:val="0"/>
          <w:marTop w:val="0"/>
          <w:marBottom w:val="0"/>
          <w:divBdr>
            <w:top w:val="none" w:sz="0" w:space="0" w:color="auto"/>
            <w:left w:val="none" w:sz="0" w:space="0" w:color="auto"/>
            <w:bottom w:val="none" w:sz="0" w:space="0" w:color="auto"/>
            <w:right w:val="none" w:sz="0" w:space="0" w:color="auto"/>
          </w:divBdr>
          <w:divsChild>
            <w:div w:id="207369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929195">
      <w:bodyDiv w:val="1"/>
      <w:marLeft w:val="0"/>
      <w:marRight w:val="0"/>
      <w:marTop w:val="0"/>
      <w:marBottom w:val="0"/>
      <w:divBdr>
        <w:top w:val="none" w:sz="0" w:space="0" w:color="auto"/>
        <w:left w:val="none" w:sz="0" w:space="0" w:color="auto"/>
        <w:bottom w:val="none" w:sz="0" w:space="0" w:color="auto"/>
        <w:right w:val="none" w:sz="0" w:space="0" w:color="auto"/>
      </w:divBdr>
      <w:divsChild>
        <w:div w:id="340399762">
          <w:marLeft w:val="480"/>
          <w:marRight w:val="0"/>
          <w:marTop w:val="0"/>
          <w:marBottom w:val="0"/>
          <w:divBdr>
            <w:top w:val="none" w:sz="0" w:space="0" w:color="auto"/>
            <w:left w:val="none" w:sz="0" w:space="0" w:color="auto"/>
            <w:bottom w:val="none" w:sz="0" w:space="0" w:color="auto"/>
            <w:right w:val="none" w:sz="0" w:space="0" w:color="auto"/>
          </w:divBdr>
          <w:divsChild>
            <w:div w:id="1258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720191">
      <w:bodyDiv w:val="1"/>
      <w:marLeft w:val="0"/>
      <w:marRight w:val="0"/>
      <w:marTop w:val="0"/>
      <w:marBottom w:val="0"/>
      <w:divBdr>
        <w:top w:val="none" w:sz="0" w:space="0" w:color="auto"/>
        <w:left w:val="none" w:sz="0" w:space="0" w:color="auto"/>
        <w:bottom w:val="none" w:sz="0" w:space="0" w:color="auto"/>
        <w:right w:val="none" w:sz="0" w:space="0" w:color="auto"/>
      </w:divBdr>
      <w:divsChild>
        <w:div w:id="1910270016">
          <w:marLeft w:val="480"/>
          <w:marRight w:val="0"/>
          <w:marTop w:val="0"/>
          <w:marBottom w:val="0"/>
          <w:divBdr>
            <w:top w:val="none" w:sz="0" w:space="0" w:color="auto"/>
            <w:left w:val="none" w:sz="0" w:space="0" w:color="auto"/>
            <w:bottom w:val="none" w:sz="0" w:space="0" w:color="auto"/>
            <w:right w:val="none" w:sz="0" w:space="0" w:color="auto"/>
          </w:divBdr>
          <w:divsChild>
            <w:div w:id="94492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848712">
      <w:bodyDiv w:val="1"/>
      <w:marLeft w:val="0"/>
      <w:marRight w:val="0"/>
      <w:marTop w:val="0"/>
      <w:marBottom w:val="0"/>
      <w:divBdr>
        <w:top w:val="none" w:sz="0" w:space="0" w:color="auto"/>
        <w:left w:val="none" w:sz="0" w:space="0" w:color="auto"/>
        <w:bottom w:val="none" w:sz="0" w:space="0" w:color="auto"/>
        <w:right w:val="none" w:sz="0" w:space="0" w:color="auto"/>
      </w:divBdr>
      <w:divsChild>
        <w:div w:id="20271753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822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316612">
      <w:bodyDiv w:val="1"/>
      <w:marLeft w:val="0"/>
      <w:marRight w:val="0"/>
      <w:marTop w:val="0"/>
      <w:marBottom w:val="0"/>
      <w:divBdr>
        <w:top w:val="none" w:sz="0" w:space="0" w:color="auto"/>
        <w:left w:val="none" w:sz="0" w:space="0" w:color="auto"/>
        <w:bottom w:val="none" w:sz="0" w:space="0" w:color="auto"/>
        <w:right w:val="none" w:sz="0" w:space="0" w:color="auto"/>
      </w:divBdr>
      <w:divsChild>
        <w:div w:id="320087613">
          <w:marLeft w:val="480"/>
          <w:marRight w:val="0"/>
          <w:marTop w:val="0"/>
          <w:marBottom w:val="0"/>
          <w:divBdr>
            <w:top w:val="none" w:sz="0" w:space="0" w:color="auto"/>
            <w:left w:val="none" w:sz="0" w:space="0" w:color="auto"/>
            <w:bottom w:val="none" w:sz="0" w:space="0" w:color="auto"/>
            <w:right w:val="none" w:sz="0" w:space="0" w:color="auto"/>
          </w:divBdr>
          <w:divsChild>
            <w:div w:id="1218512490">
              <w:marLeft w:val="0"/>
              <w:marRight w:val="0"/>
              <w:marTop w:val="0"/>
              <w:marBottom w:val="240"/>
              <w:divBdr>
                <w:top w:val="none" w:sz="0" w:space="0" w:color="auto"/>
                <w:left w:val="none" w:sz="0" w:space="0" w:color="auto"/>
                <w:bottom w:val="none" w:sz="0" w:space="0" w:color="auto"/>
                <w:right w:val="none" w:sz="0" w:space="0" w:color="auto"/>
              </w:divBdr>
            </w:div>
            <w:div w:id="71546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chart" Target="charts/chart2.xml"/><Relationship Id="rId26" Type="http://schemas.openxmlformats.org/officeDocument/2006/relationships/hyperlink" Target="https://anovelbookblog.com/2015/06/02/gender-equality-in-scottish-literary-prizes/" TargetMode="External"/><Relationship Id="rId39" Type="http://schemas.openxmlformats.org/officeDocument/2006/relationships/fontTable" Target="fontTable.xml"/><Relationship Id="rId21" Type="http://schemas.openxmlformats.org/officeDocument/2006/relationships/chart" Target="charts/chart5.xml"/><Relationship Id="rId34" Type="http://schemas.openxmlformats.org/officeDocument/2006/relationships/hyperlink" Target="https://doi.org/10.1080/09574042.2018.1561047"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chart" Target="charts/chart1.xml"/><Relationship Id="rId25" Type="http://schemas.openxmlformats.org/officeDocument/2006/relationships/chart" Target="charts/chart9.xml"/><Relationship Id="rId33" Type="http://schemas.openxmlformats.org/officeDocument/2006/relationships/hyperlink" Target="https://nls.ldls.org.uk/welcome.html?ark:/81055/vdc_100117617076.0x000001" TargetMode="External"/><Relationship Id="rId38" Type="http://schemas.openxmlformats.org/officeDocument/2006/relationships/hyperlink" Target="https://www.interscriptjournal.com/online-magazine/sleaze-o-meter"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chart" Target="charts/chart4.xml"/><Relationship Id="rId29" Type="http://schemas.openxmlformats.org/officeDocument/2006/relationships/hyperlink" Target="https://nicolagriffith.com/2015/05/26/books-about-women-tend-not-to-win-award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chart" Target="charts/chart8.xml"/><Relationship Id="rId32" Type="http://schemas.openxmlformats.org/officeDocument/2006/relationships/hyperlink" Target="https://meanjin.com.au/essays/stella-vs-miles-women-writers-and-literary-value-in-australia/" TargetMode="External"/><Relationship Id="rId37" Type="http://schemas.openxmlformats.org/officeDocument/2006/relationships/hyperlink" Target="https://www.uibk.ac.at/iza/literaturkritik-in-zahlen/pdf/2018_sondernummer_geschlechter.pdf" TargetMode="Externa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chart" Target="charts/chart7.xml"/><Relationship Id="rId28" Type="http://schemas.openxmlformats.org/officeDocument/2006/relationships/hyperlink" Target="https://www.theliftedbrow.com/liftedbrow/2019/2/8/political-resistance-behrouz-boochani-no-friend-but-the-mountains-literary-prizes-by-alexandra-dane" TargetMode="External"/><Relationship Id="rId36" Type="http://schemas.openxmlformats.org/officeDocument/2006/relationships/hyperlink" Target="https://doi.org/10.1007/s12109-020-09763-9" TargetMode="External"/><Relationship Id="rId10" Type="http://schemas.openxmlformats.org/officeDocument/2006/relationships/endnotes" Target="endnotes.xml"/><Relationship Id="rId19" Type="http://schemas.openxmlformats.org/officeDocument/2006/relationships/chart" Target="charts/chart3.xml"/><Relationship Id="rId31" Type="http://schemas.openxmlformats.org/officeDocument/2006/relationships/hyperlink" Target="http://theconversation.com/diversity-the-stella-count-and-the-whiteness-of-australian-publishing-6997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chart" Target="charts/chart6.xml"/><Relationship Id="rId27" Type="http://schemas.openxmlformats.org/officeDocument/2006/relationships/hyperlink" Target="https://doi.org/%2010.1007/978-3-030-49142-0" TargetMode="External"/><Relationship Id="rId30" Type="http://schemas.openxmlformats.org/officeDocument/2006/relationships/hyperlink" Target="https://nicolagriffith.com/2015/08/06/counting-and-gender/" TargetMode="External"/><Relationship Id="rId35" Type="http://schemas.openxmlformats.org/officeDocument/2006/relationships/hyperlink" Target="https://doi.org/10.20897/jcasc/6354"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2" Type="http://schemas.openxmlformats.org/officeDocument/2006/relationships/hyperlink" Target="https://doi.org/10.1017/iop.2019.64" TargetMode="External"/><Relationship Id="rId1" Type="http://schemas.openxmlformats.org/officeDocument/2006/relationships/hyperlink" Target="https://doi.org/10.1007/978-3-031-67314-6_3"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christinaneuwirth/Downloads/QR%20editing%20Feb%202025/Decade%20by%20decade%20prizes%20just%20winner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christinaneuwirth/Downloads/QR%20editing%20Feb%202025/Decade%20by%20decade%20prizes%20just%20winner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sz="1200">
                <a:latin typeface="Arial" panose="020B0604020202020204" pitchFamily="34" charset="0"/>
                <a:cs typeface="Arial" panose="020B0604020202020204" pitchFamily="34" charset="0"/>
              </a:rPr>
              <a:t>Winners of prizes by prize and gender, from</a:t>
            </a:r>
            <a:r>
              <a:rPr lang="en-GB" sz="1200" baseline="0">
                <a:latin typeface="Arial" panose="020B0604020202020204" pitchFamily="34" charset="0"/>
                <a:cs typeface="Arial" panose="020B0604020202020204" pitchFamily="34" charset="0"/>
              </a:rPr>
              <a:t> longst-running prize to most recent, 1919-2024</a:t>
            </a:r>
            <a:endParaRPr lang="en-GB" sz="12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GB"/>
        </a:p>
      </c:txPr>
    </c:title>
    <c:autoTitleDeleted val="0"/>
    <c:plotArea>
      <c:layout/>
      <c:barChart>
        <c:barDir val="col"/>
        <c:grouping val="clustered"/>
        <c:varyColors val="0"/>
        <c:ser>
          <c:idx val="0"/>
          <c:order val="0"/>
          <c:tx>
            <c:strRef>
              <c:f>Sheet1!$B$1</c:f>
              <c:strCache>
                <c:ptCount val="1"/>
                <c:pt idx="0">
                  <c:v>Male author</c:v>
                </c:pt>
              </c:strCache>
            </c:strRef>
          </c:tx>
          <c:spPr>
            <a:solidFill>
              <a:schemeClr val="accent1"/>
            </a:solidFill>
            <a:ln>
              <a:noFill/>
            </a:ln>
            <a:effectLst/>
          </c:spPr>
          <c:invertIfNegative val="0"/>
          <c:cat>
            <c:strRef>
              <c:f>Sheet1!$A$2:$A$13</c:f>
              <c:strCache>
                <c:ptCount val="12"/>
                <c:pt idx="0">
                  <c:v>James Tait Black Prize for Fiction</c:v>
                </c:pt>
                <c:pt idx="1">
                  <c:v>James Tait Black Prize for Biography</c:v>
                </c:pt>
                <c:pt idx="2">
                  <c:v>Saltire Society Book of the Year</c:v>
                </c:pt>
                <c:pt idx="3">
                  <c:v>Saltire Society History Book of the Year</c:v>
                </c:pt>
                <c:pt idx="4">
                  <c:v>Saltire Society First Book of the Year</c:v>
                </c:pt>
                <c:pt idx="5">
                  <c:v>Saltire Society Research Book of the Year</c:v>
                </c:pt>
                <c:pt idx="6">
                  <c:v>Walter Scott Prize for Historical Fiction</c:v>
                </c:pt>
                <c:pt idx="7">
                  <c:v>James Tait Black Prize for Drama</c:v>
                </c:pt>
                <c:pt idx="8">
                  <c:v>McIlvanney Prize for Best Scottish Crime Book of the Year</c:v>
                </c:pt>
                <c:pt idx="9">
                  <c:v>Saltire Society Poetry Book of the Year</c:v>
                </c:pt>
                <c:pt idx="10">
                  <c:v>Saltire Society Fiction Book of the Year</c:v>
                </c:pt>
                <c:pt idx="11">
                  <c:v>Saltire Society Non-Fiction Book of the Year</c:v>
                </c:pt>
              </c:strCache>
            </c:strRef>
          </c:cat>
          <c:val>
            <c:numRef>
              <c:f>Sheet1!$B$2:$B$13</c:f>
              <c:numCache>
                <c:formatCode>General</c:formatCode>
                <c:ptCount val="12"/>
                <c:pt idx="0">
                  <c:v>73</c:v>
                </c:pt>
                <c:pt idx="1">
                  <c:v>73</c:v>
                </c:pt>
                <c:pt idx="2">
                  <c:v>37</c:v>
                </c:pt>
                <c:pt idx="3">
                  <c:v>27</c:v>
                </c:pt>
                <c:pt idx="4">
                  <c:v>24</c:v>
                </c:pt>
                <c:pt idx="5">
                  <c:v>31</c:v>
                </c:pt>
                <c:pt idx="6">
                  <c:v>10</c:v>
                </c:pt>
                <c:pt idx="7">
                  <c:v>5</c:v>
                </c:pt>
                <c:pt idx="8">
                  <c:v>10</c:v>
                </c:pt>
                <c:pt idx="9">
                  <c:v>4</c:v>
                </c:pt>
                <c:pt idx="10">
                  <c:v>5</c:v>
                </c:pt>
                <c:pt idx="11">
                  <c:v>3</c:v>
                </c:pt>
              </c:numCache>
            </c:numRef>
          </c:val>
          <c:extLst>
            <c:ext xmlns:c16="http://schemas.microsoft.com/office/drawing/2014/chart" uri="{C3380CC4-5D6E-409C-BE32-E72D297353CC}">
              <c16:uniqueId val="{00000000-FEAA-DD4D-AAEE-E390C255A804}"/>
            </c:ext>
          </c:extLst>
        </c:ser>
        <c:ser>
          <c:idx val="1"/>
          <c:order val="1"/>
          <c:tx>
            <c:strRef>
              <c:f>Sheet1!$C$1</c:f>
              <c:strCache>
                <c:ptCount val="1"/>
                <c:pt idx="0">
                  <c:v>Female author</c:v>
                </c:pt>
              </c:strCache>
            </c:strRef>
          </c:tx>
          <c:spPr>
            <a:solidFill>
              <a:schemeClr val="accent2"/>
            </a:solidFill>
            <a:ln>
              <a:noFill/>
            </a:ln>
            <a:effectLst/>
          </c:spPr>
          <c:invertIfNegative val="0"/>
          <c:cat>
            <c:strRef>
              <c:f>Sheet1!$A$2:$A$13</c:f>
              <c:strCache>
                <c:ptCount val="12"/>
                <c:pt idx="0">
                  <c:v>James Tait Black Prize for Fiction</c:v>
                </c:pt>
                <c:pt idx="1">
                  <c:v>James Tait Black Prize for Biography</c:v>
                </c:pt>
                <c:pt idx="2">
                  <c:v>Saltire Society Book of the Year</c:v>
                </c:pt>
                <c:pt idx="3">
                  <c:v>Saltire Society History Book of the Year</c:v>
                </c:pt>
                <c:pt idx="4">
                  <c:v>Saltire Society First Book of the Year</c:v>
                </c:pt>
                <c:pt idx="5">
                  <c:v>Saltire Society Research Book of the Year</c:v>
                </c:pt>
                <c:pt idx="6">
                  <c:v>Walter Scott Prize for Historical Fiction</c:v>
                </c:pt>
                <c:pt idx="7">
                  <c:v>James Tait Black Prize for Drama</c:v>
                </c:pt>
                <c:pt idx="8">
                  <c:v>McIlvanney Prize for Best Scottish Crime Book of the Year</c:v>
                </c:pt>
                <c:pt idx="9">
                  <c:v>Saltire Society Poetry Book of the Year</c:v>
                </c:pt>
                <c:pt idx="10">
                  <c:v>Saltire Society Fiction Book of the Year</c:v>
                </c:pt>
                <c:pt idx="11">
                  <c:v>Saltire Society Non-Fiction Book of the Year</c:v>
                </c:pt>
              </c:strCache>
            </c:strRef>
          </c:cat>
          <c:val>
            <c:numRef>
              <c:f>Sheet1!$C$2:$C$13</c:f>
              <c:numCache>
                <c:formatCode>General</c:formatCode>
                <c:ptCount val="12"/>
                <c:pt idx="0">
                  <c:v>35</c:v>
                </c:pt>
                <c:pt idx="1">
                  <c:v>34</c:v>
                </c:pt>
                <c:pt idx="2">
                  <c:v>14</c:v>
                </c:pt>
                <c:pt idx="3">
                  <c:v>11</c:v>
                </c:pt>
                <c:pt idx="4">
                  <c:v>19</c:v>
                </c:pt>
                <c:pt idx="5">
                  <c:v>14</c:v>
                </c:pt>
                <c:pt idx="6">
                  <c:v>5</c:v>
                </c:pt>
                <c:pt idx="7">
                  <c:v>3</c:v>
                </c:pt>
                <c:pt idx="8">
                  <c:v>3</c:v>
                </c:pt>
                <c:pt idx="9">
                  <c:v>6</c:v>
                </c:pt>
                <c:pt idx="10">
                  <c:v>3</c:v>
                </c:pt>
                <c:pt idx="11">
                  <c:v>6</c:v>
                </c:pt>
              </c:numCache>
            </c:numRef>
          </c:val>
          <c:extLst>
            <c:ext xmlns:c16="http://schemas.microsoft.com/office/drawing/2014/chart" uri="{C3380CC4-5D6E-409C-BE32-E72D297353CC}">
              <c16:uniqueId val="{00000001-FEAA-DD4D-AAEE-E390C255A804}"/>
            </c:ext>
          </c:extLst>
        </c:ser>
        <c:ser>
          <c:idx val="2"/>
          <c:order val="2"/>
          <c:tx>
            <c:strRef>
              <c:f>Sheet1!$D$1</c:f>
              <c:strCache>
                <c:ptCount val="1"/>
                <c:pt idx="0">
                  <c:v>Non-binary author</c:v>
                </c:pt>
              </c:strCache>
            </c:strRef>
          </c:tx>
          <c:spPr>
            <a:solidFill>
              <a:schemeClr val="accent3"/>
            </a:solidFill>
            <a:ln>
              <a:noFill/>
            </a:ln>
            <a:effectLst/>
          </c:spPr>
          <c:invertIfNegative val="0"/>
          <c:cat>
            <c:strRef>
              <c:f>Sheet1!$A$2:$A$13</c:f>
              <c:strCache>
                <c:ptCount val="12"/>
                <c:pt idx="0">
                  <c:v>James Tait Black Prize for Fiction</c:v>
                </c:pt>
                <c:pt idx="1">
                  <c:v>James Tait Black Prize for Biography</c:v>
                </c:pt>
                <c:pt idx="2">
                  <c:v>Saltire Society Book of the Year</c:v>
                </c:pt>
                <c:pt idx="3">
                  <c:v>Saltire Society History Book of the Year</c:v>
                </c:pt>
                <c:pt idx="4">
                  <c:v>Saltire Society First Book of the Year</c:v>
                </c:pt>
                <c:pt idx="5">
                  <c:v>Saltire Society Research Book of the Year</c:v>
                </c:pt>
                <c:pt idx="6">
                  <c:v>Walter Scott Prize for Historical Fiction</c:v>
                </c:pt>
                <c:pt idx="7">
                  <c:v>James Tait Black Prize for Drama</c:v>
                </c:pt>
                <c:pt idx="8">
                  <c:v>McIlvanney Prize for Best Scottish Crime Book of the Year</c:v>
                </c:pt>
                <c:pt idx="9">
                  <c:v>Saltire Society Poetry Book of the Year</c:v>
                </c:pt>
                <c:pt idx="10">
                  <c:v>Saltire Society Fiction Book of the Year</c:v>
                </c:pt>
                <c:pt idx="11">
                  <c:v>Saltire Society Non-Fiction Book of the Year</c:v>
                </c:pt>
              </c:strCache>
            </c:strRef>
          </c:cat>
          <c:val>
            <c:numRef>
              <c:f>Sheet1!$D$2:$D$13</c:f>
              <c:numCache>
                <c:formatCode>General</c:formatCode>
                <c:ptCount val="12"/>
                <c:pt idx="0">
                  <c:v>1</c:v>
                </c:pt>
                <c:pt idx="1">
                  <c:v>0</c:v>
                </c:pt>
                <c:pt idx="2">
                  <c:v>1</c:v>
                </c:pt>
                <c:pt idx="3">
                  <c:v>0</c:v>
                </c:pt>
                <c:pt idx="4">
                  <c:v>0</c:v>
                </c:pt>
                <c:pt idx="5">
                  <c:v>0</c:v>
                </c:pt>
                <c:pt idx="6">
                  <c:v>0</c:v>
                </c:pt>
                <c:pt idx="7">
                  <c:v>0</c:v>
                </c:pt>
                <c:pt idx="8">
                  <c:v>0</c:v>
                </c:pt>
                <c:pt idx="9">
                  <c:v>0</c:v>
                </c:pt>
                <c:pt idx="10">
                  <c:v>1</c:v>
                </c:pt>
                <c:pt idx="11">
                  <c:v>0</c:v>
                </c:pt>
              </c:numCache>
            </c:numRef>
          </c:val>
          <c:extLst>
            <c:ext xmlns:c16="http://schemas.microsoft.com/office/drawing/2014/chart" uri="{C3380CC4-5D6E-409C-BE32-E72D297353CC}">
              <c16:uniqueId val="{00000002-FEAA-DD4D-AAEE-E390C255A804}"/>
            </c:ext>
          </c:extLst>
        </c:ser>
        <c:ser>
          <c:idx val="3"/>
          <c:order val="3"/>
          <c:tx>
            <c:strRef>
              <c:f>Sheet1!$E$1</c:f>
              <c:strCache>
                <c:ptCount val="1"/>
                <c:pt idx="0">
                  <c:v>Gender data not available</c:v>
                </c:pt>
              </c:strCache>
            </c:strRef>
          </c:tx>
          <c:spPr>
            <a:solidFill>
              <a:schemeClr val="accent4"/>
            </a:solidFill>
            <a:ln>
              <a:noFill/>
            </a:ln>
            <a:effectLst/>
          </c:spPr>
          <c:invertIfNegative val="0"/>
          <c:cat>
            <c:strRef>
              <c:f>Sheet1!$A$2:$A$13</c:f>
              <c:strCache>
                <c:ptCount val="12"/>
                <c:pt idx="0">
                  <c:v>James Tait Black Prize for Fiction</c:v>
                </c:pt>
                <c:pt idx="1">
                  <c:v>James Tait Black Prize for Biography</c:v>
                </c:pt>
                <c:pt idx="2">
                  <c:v>Saltire Society Book of the Year</c:v>
                </c:pt>
                <c:pt idx="3">
                  <c:v>Saltire Society History Book of the Year</c:v>
                </c:pt>
                <c:pt idx="4">
                  <c:v>Saltire Society First Book of the Year</c:v>
                </c:pt>
                <c:pt idx="5">
                  <c:v>Saltire Society Research Book of the Year</c:v>
                </c:pt>
                <c:pt idx="6">
                  <c:v>Walter Scott Prize for Historical Fiction</c:v>
                </c:pt>
                <c:pt idx="7">
                  <c:v>James Tait Black Prize for Drama</c:v>
                </c:pt>
                <c:pt idx="8">
                  <c:v>McIlvanney Prize for Best Scottish Crime Book of the Year</c:v>
                </c:pt>
                <c:pt idx="9">
                  <c:v>Saltire Society Poetry Book of the Year</c:v>
                </c:pt>
                <c:pt idx="10">
                  <c:v>Saltire Society Fiction Book of the Year</c:v>
                </c:pt>
                <c:pt idx="11">
                  <c:v>Saltire Society Non-Fiction Book of the Year</c:v>
                </c:pt>
              </c:strCache>
            </c:strRef>
          </c:cat>
          <c:val>
            <c:numRef>
              <c:f>Sheet1!$E$2:$E$13</c:f>
              <c:numCache>
                <c:formatCode>General</c:formatCode>
                <c:ptCount val="12"/>
                <c:pt idx="0">
                  <c:v>0</c:v>
                </c:pt>
                <c:pt idx="1">
                  <c:v>1</c:v>
                </c:pt>
                <c:pt idx="2">
                  <c:v>0</c:v>
                </c:pt>
                <c:pt idx="3">
                  <c:v>0</c:v>
                </c:pt>
                <c:pt idx="4">
                  <c:v>0</c:v>
                </c:pt>
                <c:pt idx="5">
                  <c:v>0</c:v>
                </c:pt>
                <c:pt idx="6">
                  <c:v>0</c:v>
                </c:pt>
                <c:pt idx="7">
                  <c:v>0</c:v>
                </c:pt>
                <c:pt idx="8">
                  <c:v>0</c:v>
                </c:pt>
                <c:pt idx="9">
                  <c:v>0</c:v>
                </c:pt>
                <c:pt idx="10">
                  <c:v>0</c:v>
                </c:pt>
                <c:pt idx="11">
                  <c:v>0</c:v>
                </c:pt>
              </c:numCache>
            </c:numRef>
          </c:val>
          <c:extLst>
            <c:ext xmlns:c16="http://schemas.microsoft.com/office/drawing/2014/chart" uri="{C3380CC4-5D6E-409C-BE32-E72D297353CC}">
              <c16:uniqueId val="{00000003-FEAA-DD4D-AAEE-E390C255A804}"/>
            </c:ext>
          </c:extLst>
        </c:ser>
        <c:dLbls>
          <c:showLegendKey val="0"/>
          <c:showVal val="0"/>
          <c:showCatName val="0"/>
          <c:showSerName val="0"/>
          <c:showPercent val="0"/>
          <c:showBubbleSize val="0"/>
        </c:dLbls>
        <c:gapWidth val="150"/>
        <c:axId val="53812847"/>
        <c:axId val="111934303"/>
      </c:barChart>
      <c:catAx>
        <c:axId val="5381284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1934303"/>
        <c:crosses val="autoZero"/>
        <c:auto val="1"/>
        <c:lblAlgn val="ctr"/>
        <c:lblOffset val="100"/>
        <c:noMultiLvlLbl val="0"/>
      </c:catAx>
      <c:valAx>
        <c:axId val="11193430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81284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400" b="0" i="0" u="none" strike="noStrike" kern="1200" spc="0" baseline="0">
                <a:solidFill>
                  <a:sysClr val="windowText" lastClr="000000">
                    <a:lumMod val="65000"/>
                    <a:lumOff val="35000"/>
                  </a:sysClr>
                </a:solidFill>
              </a:rPr>
              <a:t>Proportions of winners by gender, by decade 1920s-2010s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Summary!$B$18</c:f>
              <c:strCache>
                <c:ptCount val="1"/>
                <c:pt idx="0">
                  <c:v>Male author</c:v>
                </c:pt>
              </c:strCache>
            </c:strRef>
          </c:tx>
          <c:spPr>
            <a:solidFill>
              <a:schemeClr val="accent1"/>
            </a:solidFill>
            <a:ln>
              <a:noFill/>
            </a:ln>
            <a:effectLst/>
          </c:spPr>
          <c:invertIfNegative val="0"/>
          <c:cat>
            <c:strRef>
              <c:f>Summary!$A$19:$A$28</c:f>
              <c:strCache>
                <c:ptCount val="10"/>
                <c:pt idx="0">
                  <c:v>1920s</c:v>
                </c:pt>
                <c:pt idx="1">
                  <c:v>1930s</c:v>
                </c:pt>
                <c:pt idx="2">
                  <c:v>1940s</c:v>
                </c:pt>
                <c:pt idx="3">
                  <c:v>1950s</c:v>
                </c:pt>
                <c:pt idx="4">
                  <c:v>1960s</c:v>
                </c:pt>
                <c:pt idx="5">
                  <c:v>1970s</c:v>
                </c:pt>
                <c:pt idx="6">
                  <c:v>1980s</c:v>
                </c:pt>
                <c:pt idx="7">
                  <c:v>1990s</c:v>
                </c:pt>
                <c:pt idx="8">
                  <c:v>2000s</c:v>
                </c:pt>
                <c:pt idx="9">
                  <c:v>2010s</c:v>
                </c:pt>
              </c:strCache>
            </c:strRef>
          </c:cat>
          <c:val>
            <c:numRef>
              <c:f>Summary!$B$19:$B$28</c:f>
              <c:numCache>
                <c:formatCode>0%</c:formatCode>
                <c:ptCount val="10"/>
                <c:pt idx="0">
                  <c:v>0.95</c:v>
                </c:pt>
                <c:pt idx="1">
                  <c:v>0.77272727272727271</c:v>
                </c:pt>
                <c:pt idx="2">
                  <c:v>0.8</c:v>
                </c:pt>
                <c:pt idx="3">
                  <c:v>0.72727272727272729</c:v>
                </c:pt>
                <c:pt idx="4">
                  <c:v>0.36363636363636365</c:v>
                </c:pt>
                <c:pt idx="5">
                  <c:v>0.77272727272727271</c:v>
                </c:pt>
                <c:pt idx="6">
                  <c:v>0.70454545454545459</c:v>
                </c:pt>
                <c:pt idx="7">
                  <c:v>0.75</c:v>
                </c:pt>
                <c:pt idx="8" formatCode="0.0%">
                  <c:v>0.65714285714285714</c:v>
                </c:pt>
                <c:pt idx="9" formatCode="0.0%">
                  <c:v>0.5982142857142857</c:v>
                </c:pt>
              </c:numCache>
            </c:numRef>
          </c:val>
          <c:extLst>
            <c:ext xmlns:c16="http://schemas.microsoft.com/office/drawing/2014/chart" uri="{C3380CC4-5D6E-409C-BE32-E72D297353CC}">
              <c16:uniqueId val="{00000000-9565-A74E-ABDA-8FF4105E0261}"/>
            </c:ext>
          </c:extLst>
        </c:ser>
        <c:ser>
          <c:idx val="1"/>
          <c:order val="1"/>
          <c:tx>
            <c:strRef>
              <c:f>Summary!$C$18</c:f>
              <c:strCache>
                <c:ptCount val="1"/>
                <c:pt idx="0">
                  <c:v>Female author</c:v>
                </c:pt>
              </c:strCache>
            </c:strRef>
          </c:tx>
          <c:spPr>
            <a:solidFill>
              <a:schemeClr val="accent2"/>
            </a:solidFill>
            <a:ln>
              <a:noFill/>
            </a:ln>
            <a:effectLst/>
          </c:spPr>
          <c:invertIfNegative val="0"/>
          <c:cat>
            <c:strRef>
              <c:f>Summary!$A$19:$A$28</c:f>
              <c:strCache>
                <c:ptCount val="10"/>
                <c:pt idx="0">
                  <c:v>1920s</c:v>
                </c:pt>
                <c:pt idx="1">
                  <c:v>1930s</c:v>
                </c:pt>
                <c:pt idx="2">
                  <c:v>1940s</c:v>
                </c:pt>
                <c:pt idx="3">
                  <c:v>1950s</c:v>
                </c:pt>
                <c:pt idx="4">
                  <c:v>1960s</c:v>
                </c:pt>
                <c:pt idx="5">
                  <c:v>1970s</c:v>
                </c:pt>
                <c:pt idx="6">
                  <c:v>1980s</c:v>
                </c:pt>
                <c:pt idx="7">
                  <c:v>1990s</c:v>
                </c:pt>
                <c:pt idx="8">
                  <c:v>2000s</c:v>
                </c:pt>
                <c:pt idx="9">
                  <c:v>2010s</c:v>
                </c:pt>
              </c:strCache>
            </c:strRef>
          </c:cat>
          <c:val>
            <c:numRef>
              <c:f>Summary!$C$19:$C$28</c:f>
              <c:numCache>
                <c:formatCode>0%</c:formatCode>
                <c:ptCount val="10"/>
                <c:pt idx="0">
                  <c:v>0.05</c:v>
                </c:pt>
                <c:pt idx="1">
                  <c:v>0.22727272727272727</c:v>
                </c:pt>
                <c:pt idx="2">
                  <c:v>0.2</c:v>
                </c:pt>
                <c:pt idx="3">
                  <c:v>0.27272727272727271</c:v>
                </c:pt>
                <c:pt idx="4">
                  <c:v>0.63636363636363635</c:v>
                </c:pt>
                <c:pt idx="5">
                  <c:v>0.22727272727272727</c:v>
                </c:pt>
                <c:pt idx="6">
                  <c:v>0.29545454545454547</c:v>
                </c:pt>
                <c:pt idx="7">
                  <c:v>0.25</c:v>
                </c:pt>
                <c:pt idx="8" formatCode="0.0%">
                  <c:v>0.34285714285714286</c:v>
                </c:pt>
                <c:pt idx="9" formatCode="0.0%">
                  <c:v>0.4017857142857143</c:v>
                </c:pt>
              </c:numCache>
            </c:numRef>
          </c:val>
          <c:extLst>
            <c:ext xmlns:c16="http://schemas.microsoft.com/office/drawing/2014/chart" uri="{C3380CC4-5D6E-409C-BE32-E72D297353CC}">
              <c16:uniqueId val="{00000001-9565-A74E-ABDA-8FF4105E0261}"/>
            </c:ext>
          </c:extLst>
        </c:ser>
        <c:ser>
          <c:idx val="2"/>
          <c:order val="2"/>
          <c:tx>
            <c:strRef>
              <c:f>Summary!$D$18</c:f>
              <c:strCache>
                <c:ptCount val="1"/>
                <c:pt idx="0">
                  <c:v>Non-binary author</c:v>
                </c:pt>
              </c:strCache>
            </c:strRef>
          </c:tx>
          <c:spPr>
            <a:solidFill>
              <a:schemeClr val="accent3"/>
            </a:solidFill>
            <a:ln>
              <a:noFill/>
            </a:ln>
            <a:effectLst/>
          </c:spPr>
          <c:invertIfNegative val="0"/>
          <c:cat>
            <c:strRef>
              <c:f>Summary!$A$19:$A$28</c:f>
              <c:strCache>
                <c:ptCount val="10"/>
                <c:pt idx="0">
                  <c:v>1920s</c:v>
                </c:pt>
                <c:pt idx="1">
                  <c:v>1930s</c:v>
                </c:pt>
                <c:pt idx="2">
                  <c:v>1940s</c:v>
                </c:pt>
                <c:pt idx="3">
                  <c:v>1950s</c:v>
                </c:pt>
                <c:pt idx="4">
                  <c:v>1960s</c:v>
                </c:pt>
                <c:pt idx="5">
                  <c:v>1970s</c:v>
                </c:pt>
                <c:pt idx="6">
                  <c:v>1980s</c:v>
                </c:pt>
                <c:pt idx="7">
                  <c:v>1990s</c:v>
                </c:pt>
                <c:pt idx="8">
                  <c:v>2000s</c:v>
                </c:pt>
                <c:pt idx="9">
                  <c:v>2010s</c:v>
                </c:pt>
              </c:strCache>
            </c:strRef>
          </c:cat>
          <c:val>
            <c:numRef>
              <c:f>Summary!$D$19:$D$28</c:f>
              <c:numCache>
                <c:formatCode>0%</c:formatCode>
                <c:ptCount val="10"/>
                <c:pt idx="0">
                  <c:v>0</c:v>
                </c:pt>
                <c:pt idx="1">
                  <c:v>0</c:v>
                </c:pt>
                <c:pt idx="2">
                  <c:v>0</c:v>
                </c:pt>
                <c:pt idx="3">
                  <c:v>0</c:v>
                </c:pt>
                <c:pt idx="4">
                  <c:v>0</c:v>
                </c:pt>
                <c:pt idx="5">
                  <c:v>0</c:v>
                </c:pt>
                <c:pt idx="6">
                  <c:v>0</c:v>
                </c:pt>
                <c:pt idx="7">
                  <c:v>0</c:v>
                </c:pt>
                <c:pt idx="8" formatCode="0.0%">
                  <c:v>0</c:v>
                </c:pt>
                <c:pt idx="9" formatCode="0.0%">
                  <c:v>0</c:v>
                </c:pt>
              </c:numCache>
            </c:numRef>
          </c:val>
          <c:extLst>
            <c:ext xmlns:c16="http://schemas.microsoft.com/office/drawing/2014/chart" uri="{C3380CC4-5D6E-409C-BE32-E72D297353CC}">
              <c16:uniqueId val="{00000002-9565-A74E-ABDA-8FF4105E0261}"/>
            </c:ext>
          </c:extLst>
        </c:ser>
        <c:dLbls>
          <c:showLegendKey val="0"/>
          <c:showVal val="0"/>
          <c:showCatName val="0"/>
          <c:showSerName val="0"/>
          <c:showPercent val="0"/>
          <c:showBubbleSize val="0"/>
        </c:dLbls>
        <c:gapWidth val="182"/>
        <c:axId val="2091994847"/>
        <c:axId val="2091951903"/>
      </c:barChart>
      <c:catAx>
        <c:axId val="209199484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91951903"/>
        <c:crosses val="autoZero"/>
        <c:auto val="1"/>
        <c:lblAlgn val="ctr"/>
        <c:lblOffset val="100"/>
        <c:noMultiLvlLbl val="0"/>
      </c:catAx>
      <c:valAx>
        <c:axId val="209195190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9199484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Actual numbers of winners by gender,</a:t>
            </a:r>
            <a:r>
              <a:rPr lang="en-GB" baseline="0"/>
              <a:t> by decade 1920s-2010s</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lineChart>
        <c:grouping val="standard"/>
        <c:varyColors val="0"/>
        <c:ser>
          <c:idx val="0"/>
          <c:order val="0"/>
          <c:tx>
            <c:strRef>
              <c:f>Summary!$B$3</c:f>
              <c:strCache>
                <c:ptCount val="1"/>
                <c:pt idx="0">
                  <c:v>Male author</c:v>
                </c:pt>
              </c:strCache>
            </c:strRef>
          </c:tx>
          <c:spPr>
            <a:ln w="28575" cap="rnd">
              <a:solidFill>
                <a:schemeClr val="accent1"/>
              </a:solidFill>
              <a:round/>
            </a:ln>
            <a:effectLst/>
          </c:spPr>
          <c:marker>
            <c:symbol val="none"/>
          </c:marker>
          <c:cat>
            <c:strRef>
              <c:f>Summary!$A$5:$A$14</c:f>
              <c:strCache>
                <c:ptCount val="10"/>
                <c:pt idx="0">
                  <c:v>1920s</c:v>
                </c:pt>
                <c:pt idx="1">
                  <c:v>1930s</c:v>
                </c:pt>
                <c:pt idx="2">
                  <c:v>1940s</c:v>
                </c:pt>
                <c:pt idx="3">
                  <c:v>1950s</c:v>
                </c:pt>
                <c:pt idx="4">
                  <c:v>1960s</c:v>
                </c:pt>
                <c:pt idx="5">
                  <c:v>1970s</c:v>
                </c:pt>
                <c:pt idx="6">
                  <c:v>1980s</c:v>
                </c:pt>
                <c:pt idx="7">
                  <c:v>1990s</c:v>
                </c:pt>
                <c:pt idx="8">
                  <c:v>2000s</c:v>
                </c:pt>
                <c:pt idx="9">
                  <c:v>2010s</c:v>
                </c:pt>
              </c:strCache>
            </c:strRef>
          </c:cat>
          <c:val>
            <c:numRef>
              <c:f>Summary!$B$5:$B$14</c:f>
              <c:numCache>
                <c:formatCode>General</c:formatCode>
                <c:ptCount val="10"/>
                <c:pt idx="0">
                  <c:v>19</c:v>
                </c:pt>
                <c:pt idx="1">
                  <c:v>17</c:v>
                </c:pt>
                <c:pt idx="2">
                  <c:v>16</c:v>
                </c:pt>
                <c:pt idx="3">
                  <c:v>16</c:v>
                </c:pt>
                <c:pt idx="4">
                  <c:v>8</c:v>
                </c:pt>
                <c:pt idx="5">
                  <c:v>17</c:v>
                </c:pt>
                <c:pt idx="6">
                  <c:v>31</c:v>
                </c:pt>
                <c:pt idx="7">
                  <c:v>39</c:v>
                </c:pt>
                <c:pt idx="8">
                  <c:v>46</c:v>
                </c:pt>
                <c:pt idx="9">
                  <c:v>67</c:v>
                </c:pt>
              </c:numCache>
            </c:numRef>
          </c:val>
          <c:smooth val="0"/>
          <c:extLst>
            <c:ext xmlns:c16="http://schemas.microsoft.com/office/drawing/2014/chart" uri="{C3380CC4-5D6E-409C-BE32-E72D297353CC}">
              <c16:uniqueId val="{00000000-BAFE-2D4C-8AEF-0D7F5EF936AB}"/>
            </c:ext>
          </c:extLst>
        </c:ser>
        <c:ser>
          <c:idx val="1"/>
          <c:order val="1"/>
          <c:tx>
            <c:strRef>
              <c:f>Summary!$C$3</c:f>
              <c:strCache>
                <c:ptCount val="1"/>
                <c:pt idx="0">
                  <c:v>Female author</c:v>
                </c:pt>
              </c:strCache>
            </c:strRef>
          </c:tx>
          <c:spPr>
            <a:ln w="28575" cap="rnd">
              <a:solidFill>
                <a:schemeClr val="accent2"/>
              </a:solidFill>
              <a:round/>
            </a:ln>
            <a:effectLst/>
          </c:spPr>
          <c:marker>
            <c:symbol val="none"/>
          </c:marker>
          <c:cat>
            <c:strRef>
              <c:f>Summary!$A$5:$A$14</c:f>
              <c:strCache>
                <c:ptCount val="10"/>
                <c:pt idx="0">
                  <c:v>1920s</c:v>
                </c:pt>
                <c:pt idx="1">
                  <c:v>1930s</c:v>
                </c:pt>
                <c:pt idx="2">
                  <c:v>1940s</c:v>
                </c:pt>
                <c:pt idx="3">
                  <c:v>1950s</c:v>
                </c:pt>
                <c:pt idx="4">
                  <c:v>1960s</c:v>
                </c:pt>
                <c:pt idx="5">
                  <c:v>1970s</c:v>
                </c:pt>
                <c:pt idx="6">
                  <c:v>1980s</c:v>
                </c:pt>
                <c:pt idx="7">
                  <c:v>1990s</c:v>
                </c:pt>
                <c:pt idx="8">
                  <c:v>2000s</c:v>
                </c:pt>
                <c:pt idx="9">
                  <c:v>2010s</c:v>
                </c:pt>
              </c:strCache>
            </c:strRef>
          </c:cat>
          <c:val>
            <c:numRef>
              <c:f>Summary!$C$5:$C$14</c:f>
              <c:numCache>
                <c:formatCode>General</c:formatCode>
                <c:ptCount val="10"/>
                <c:pt idx="0">
                  <c:v>1</c:v>
                </c:pt>
                <c:pt idx="1">
                  <c:v>5</c:v>
                </c:pt>
                <c:pt idx="2">
                  <c:v>4</c:v>
                </c:pt>
                <c:pt idx="3">
                  <c:v>6</c:v>
                </c:pt>
                <c:pt idx="4">
                  <c:v>14</c:v>
                </c:pt>
                <c:pt idx="5">
                  <c:v>5</c:v>
                </c:pt>
                <c:pt idx="6">
                  <c:v>13</c:v>
                </c:pt>
                <c:pt idx="7">
                  <c:v>13</c:v>
                </c:pt>
                <c:pt idx="8">
                  <c:v>24</c:v>
                </c:pt>
                <c:pt idx="9">
                  <c:v>45</c:v>
                </c:pt>
              </c:numCache>
            </c:numRef>
          </c:val>
          <c:smooth val="0"/>
          <c:extLst>
            <c:ext xmlns:c16="http://schemas.microsoft.com/office/drawing/2014/chart" uri="{C3380CC4-5D6E-409C-BE32-E72D297353CC}">
              <c16:uniqueId val="{00000001-BAFE-2D4C-8AEF-0D7F5EF936AB}"/>
            </c:ext>
          </c:extLst>
        </c:ser>
        <c:dLbls>
          <c:showLegendKey val="0"/>
          <c:showVal val="0"/>
          <c:showCatName val="0"/>
          <c:showSerName val="0"/>
          <c:showPercent val="0"/>
          <c:showBubbleSize val="0"/>
        </c:dLbls>
        <c:smooth val="0"/>
        <c:axId val="2060546335"/>
        <c:axId val="2060524239"/>
      </c:lineChart>
      <c:catAx>
        <c:axId val="20605463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60524239"/>
        <c:crosses val="autoZero"/>
        <c:auto val="1"/>
        <c:lblAlgn val="ctr"/>
        <c:lblOffset val="100"/>
        <c:noMultiLvlLbl val="0"/>
      </c:catAx>
      <c:valAx>
        <c:axId val="20605242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605463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Arial"/>
              </a:defRPr>
            </a:pPr>
            <a:r>
              <a:rPr lang="en-GB" sz="1400" b="0" strike="noStrike" spc="-1">
                <a:solidFill>
                  <a:srgbClr val="595959"/>
                </a:solidFill>
                <a:latin typeface="Arial"/>
              </a:rPr>
              <a:t>Gender of authors published in Scotland, by category, 2017-2019</a:t>
            </a:r>
          </a:p>
        </c:rich>
      </c:tx>
      <c:overlay val="0"/>
      <c:spPr>
        <a:noFill/>
        <a:ln>
          <a:noFill/>
        </a:ln>
      </c:spPr>
    </c:title>
    <c:autoTitleDeleted val="0"/>
    <c:plotArea>
      <c:layout/>
      <c:barChart>
        <c:barDir val="bar"/>
        <c:grouping val="clustered"/>
        <c:varyColors val="0"/>
        <c:ser>
          <c:idx val="0"/>
          <c:order val="0"/>
          <c:tx>
            <c:strRef>
              <c:f>label 0</c:f>
              <c:strCache>
                <c:ptCount val="1"/>
                <c:pt idx="0">
                  <c:v>Male author</c:v>
                </c:pt>
              </c:strCache>
            </c:strRef>
          </c:tx>
          <c:spPr>
            <a:solidFill>
              <a:srgbClr val="00B5D6"/>
            </a:solidFill>
            <a:ln>
              <a:noFill/>
            </a:ln>
          </c:spPr>
          <c:invertIfNegative val="0"/>
          <c:dLbls>
            <c:spPr>
              <a:noFill/>
              <a:ln>
                <a:noFill/>
              </a:ln>
              <a:effectLst/>
            </c:sp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4"/>
                <c:pt idx="0">
                  <c:v>Poetry</c:v>
                </c:pt>
                <c:pt idx="1">
                  <c:v>Children's and young adult</c:v>
                </c:pt>
                <c:pt idx="2">
                  <c:v>Trade non-fiction</c:v>
                </c:pt>
                <c:pt idx="3">
                  <c:v>Fiction</c:v>
                </c:pt>
              </c:strCache>
            </c:strRef>
          </c:cat>
          <c:val>
            <c:numRef>
              <c:f>0</c:f>
              <c:numCache>
                <c:formatCode>General</c:formatCode>
                <c:ptCount val="4"/>
                <c:pt idx="0">
                  <c:v>52</c:v>
                </c:pt>
                <c:pt idx="1">
                  <c:v>200</c:v>
                </c:pt>
                <c:pt idx="2">
                  <c:v>640</c:v>
                </c:pt>
                <c:pt idx="3">
                  <c:v>345</c:v>
                </c:pt>
              </c:numCache>
            </c:numRef>
          </c:val>
          <c:extLst>
            <c:ext xmlns:c16="http://schemas.microsoft.com/office/drawing/2014/chart" uri="{C3380CC4-5D6E-409C-BE32-E72D297353CC}">
              <c16:uniqueId val="{00000000-B227-6545-8030-37B15CBEDD41}"/>
            </c:ext>
          </c:extLst>
        </c:ser>
        <c:ser>
          <c:idx val="1"/>
          <c:order val="1"/>
          <c:tx>
            <c:strRef>
              <c:f>label 1</c:f>
              <c:strCache>
                <c:ptCount val="1"/>
                <c:pt idx="0">
                  <c:v>Female author</c:v>
                </c:pt>
              </c:strCache>
            </c:strRef>
          </c:tx>
          <c:spPr>
            <a:solidFill>
              <a:srgbClr val="F77F00"/>
            </a:solidFill>
            <a:ln>
              <a:noFill/>
            </a:ln>
          </c:spPr>
          <c:invertIfNegative val="0"/>
          <c:dLbls>
            <c:spPr>
              <a:noFill/>
              <a:ln>
                <a:noFill/>
              </a:ln>
              <a:effectLst/>
            </c:sp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4"/>
                <c:pt idx="0">
                  <c:v>Poetry</c:v>
                </c:pt>
                <c:pt idx="1">
                  <c:v>Children's and young adult</c:v>
                </c:pt>
                <c:pt idx="2">
                  <c:v>Trade non-fiction</c:v>
                </c:pt>
                <c:pt idx="3">
                  <c:v>Fiction</c:v>
                </c:pt>
              </c:strCache>
            </c:strRef>
          </c:cat>
          <c:val>
            <c:numRef>
              <c:f>1</c:f>
              <c:numCache>
                <c:formatCode>General</c:formatCode>
                <c:ptCount val="4"/>
                <c:pt idx="0">
                  <c:v>28</c:v>
                </c:pt>
                <c:pt idx="1">
                  <c:v>248</c:v>
                </c:pt>
                <c:pt idx="2">
                  <c:v>280</c:v>
                </c:pt>
                <c:pt idx="3">
                  <c:v>222</c:v>
                </c:pt>
              </c:numCache>
            </c:numRef>
          </c:val>
          <c:extLst>
            <c:ext xmlns:c16="http://schemas.microsoft.com/office/drawing/2014/chart" uri="{C3380CC4-5D6E-409C-BE32-E72D297353CC}">
              <c16:uniqueId val="{00000001-B227-6545-8030-37B15CBEDD41}"/>
            </c:ext>
          </c:extLst>
        </c:ser>
        <c:ser>
          <c:idx val="2"/>
          <c:order val="2"/>
          <c:tx>
            <c:strRef>
              <c:f>label 2</c:f>
              <c:strCache>
                <c:ptCount val="1"/>
                <c:pt idx="0">
                  <c:v>Non-binary author</c:v>
                </c:pt>
              </c:strCache>
            </c:strRef>
          </c:tx>
          <c:spPr>
            <a:solidFill>
              <a:srgbClr val="5BBF21"/>
            </a:solidFill>
            <a:ln>
              <a:noFill/>
            </a:ln>
          </c:spPr>
          <c:invertIfNegative val="0"/>
          <c:dLbls>
            <c:spPr>
              <a:noFill/>
              <a:ln>
                <a:noFill/>
              </a:ln>
              <a:effectLst/>
            </c:sp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4"/>
                <c:pt idx="0">
                  <c:v>Poetry</c:v>
                </c:pt>
                <c:pt idx="1">
                  <c:v>Children's and young adult</c:v>
                </c:pt>
                <c:pt idx="2">
                  <c:v>Trade non-fiction</c:v>
                </c:pt>
                <c:pt idx="3">
                  <c:v>Fiction</c:v>
                </c:pt>
              </c:strCache>
            </c:strRef>
          </c:cat>
          <c:val>
            <c:numRef>
              <c:f>2</c:f>
              <c:numCache>
                <c:formatCode>General</c:formatCode>
                <c:ptCount val="4"/>
                <c:pt idx="0">
                  <c:v>1</c:v>
                </c:pt>
                <c:pt idx="1">
                  <c:v>1</c:v>
                </c:pt>
                <c:pt idx="2">
                  <c:v>0</c:v>
                </c:pt>
                <c:pt idx="3">
                  <c:v>0</c:v>
                </c:pt>
              </c:numCache>
            </c:numRef>
          </c:val>
          <c:extLst>
            <c:ext xmlns:c16="http://schemas.microsoft.com/office/drawing/2014/chart" uri="{C3380CC4-5D6E-409C-BE32-E72D297353CC}">
              <c16:uniqueId val="{00000002-B227-6545-8030-37B15CBEDD41}"/>
            </c:ext>
          </c:extLst>
        </c:ser>
        <c:dLbls>
          <c:showLegendKey val="0"/>
          <c:showVal val="0"/>
          <c:showCatName val="0"/>
          <c:showSerName val="0"/>
          <c:showPercent val="0"/>
          <c:showBubbleSize val="0"/>
        </c:dLbls>
        <c:gapWidth val="182"/>
        <c:axId val="71299087"/>
        <c:axId val="39090215"/>
      </c:barChart>
      <c:catAx>
        <c:axId val="71299087"/>
        <c:scaling>
          <c:orientation val="minMax"/>
        </c:scaling>
        <c:delete val="0"/>
        <c:axPos val="l"/>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Arial"/>
              </a:defRPr>
            </a:pPr>
            <a:endParaRPr lang="en-US"/>
          </a:p>
        </c:txPr>
        <c:crossAx val="39090215"/>
        <c:crosses val="autoZero"/>
        <c:auto val="1"/>
        <c:lblAlgn val="ctr"/>
        <c:lblOffset val="100"/>
        <c:noMultiLvlLbl val="1"/>
      </c:catAx>
      <c:valAx>
        <c:axId val="39090215"/>
        <c:scaling>
          <c:orientation val="minMax"/>
        </c:scaling>
        <c:delete val="0"/>
        <c:axPos val="b"/>
        <c:majorGridlines>
          <c:spPr>
            <a:ln w="9360">
              <a:solidFill>
                <a:srgbClr val="D9D9D9"/>
              </a:solidFill>
              <a:round/>
            </a:ln>
          </c:spPr>
        </c:majorGridlines>
        <c:numFmt formatCode="General" sourceLinked="0"/>
        <c:majorTickMark val="none"/>
        <c:minorTickMark val="none"/>
        <c:tickLblPos val="nextTo"/>
        <c:spPr>
          <a:ln w="6480">
            <a:noFill/>
          </a:ln>
        </c:spPr>
        <c:txPr>
          <a:bodyPr/>
          <a:lstStyle/>
          <a:p>
            <a:pPr>
              <a:defRPr sz="900" b="0" strike="noStrike" spc="-1">
                <a:solidFill>
                  <a:srgbClr val="595959"/>
                </a:solidFill>
                <a:latin typeface="Arial"/>
              </a:defRPr>
            </a:pPr>
            <a:endParaRPr lang="en-US"/>
          </a:p>
        </c:txPr>
        <c:crossAx val="71299087"/>
        <c:crosses val="autoZero"/>
        <c:crossBetween val="between"/>
      </c:valAx>
      <c:spPr>
        <a:noFill/>
        <a:ln>
          <a:noFill/>
        </a:ln>
      </c:spPr>
    </c:plotArea>
    <c:legend>
      <c:legendPos val="b"/>
      <c:overlay val="0"/>
      <c:spPr>
        <a:noFill/>
        <a:ln>
          <a:noFill/>
        </a:ln>
      </c:spPr>
      <c:txPr>
        <a:bodyPr/>
        <a:lstStyle/>
        <a:p>
          <a:pPr>
            <a:defRPr sz="900" b="0" strike="noStrike" spc="-1">
              <a:solidFill>
                <a:srgbClr val="595959"/>
              </a:solidFill>
              <a:latin typeface="Arial"/>
            </a:defRPr>
          </a:pPr>
          <a:endParaRPr lang="en-US"/>
        </a:p>
      </c:txPr>
    </c:legend>
    <c:plotVisOnly val="1"/>
    <c:dispBlanksAs val="gap"/>
    <c:showDLblsOverMax val="1"/>
  </c:chart>
  <c:spPr>
    <a:solidFill>
      <a:srgbClr val="FFFFFF"/>
    </a:solidFill>
    <a:ln w="9360">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Gender of authors and reviewers in book reviews in The Scotsman and The Herald, 2017-2019</a:t>
            </a:r>
          </a:p>
        </c:rich>
      </c:tx>
      <c:overlay val="0"/>
      <c:spPr>
        <a:noFill/>
        <a:ln>
          <a:noFill/>
        </a:ln>
      </c:spPr>
    </c:title>
    <c:autoTitleDeleted val="0"/>
    <c:plotArea>
      <c:layout/>
      <c:barChart>
        <c:barDir val="bar"/>
        <c:grouping val="clustered"/>
        <c:varyColors val="0"/>
        <c:ser>
          <c:idx val="0"/>
          <c:order val="0"/>
          <c:tx>
            <c:strRef>
              <c:f>label 0</c:f>
              <c:strCache>
                <c:ptCount val="1"/>
                <c:pt idx="0">
                  <c:v>Male author</c:v>
                </c:pt>
              </c:strCache>
            </c:strRef>
          </c:tx>
          <c:spPr>
            <a:solidFill>
              <a:srgbClr val="00B5D6"/>
            </a:solidFill>
            <a:ln>
              <a:noFill/>
            </a:ln>
          </c:spPr>
          <c:invertIfNegative val="0"/>
          <c:dLbls>
            <c:spPr>
              <a:noFill/>
              <a:ln>
                <a:noFill/>
              </a:ln>
              <a:effectLst/>
            </c:sp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2"/>
                <c:pt idx="0">
                  <c:v>Book author</c:v>
                </c:pt>
                <c:pt idx="1">
                  <c:v>Critic</c:v>
                </c:pt>
              </c:strCache>
            </c:strRef>
          </c:cat>
          <c:val>
            <c:numRef>
              <c:f>0</c:f>
              <c:numCache>
                <c:formatCode>General</c:formatCode>
                <c:ptCount val="2"/>
                <c:pt idx="0">
                  <c:v>1038</c:v>
                </c:pt>
                <c:pt idx="1">
                  <c:v>1265</c:v>
                </c:pt>
              </c:numCache>
            </c:numRef>
          </c:val>
          <c:extLst>
            <c:ext xmlns:c16="http://schemas.microsoft.com/office/drawing/2014/chart" uri="{C3380CC4-5D6E-409C-BE32-E72D297353CC}">
              <c16:uniqueId val="{00000000-FE69-BD43-98EF-8D425BD2080A}"/>
            </c:ext>
          </c:extLst>
        </c:ser>
        <c:ser>
          <c:idx val="1"/>
          <c:order val="1"/>
          <c:tx>
            <c:strRef>
              <c:f>label 1</c:f>
              <c:strCache>
                <c:ptCount val="1"/>
                <c:pt idx="0">
                  <c:v>Female author</c:v>
                </c:pt>
              </c:strCache>
            </c:strRef>
          </c:tx>
          <c:spPr>
            <a:solidFill>
              <a:srgbClr val="F77F00"/>
            </a:solidFill>
            <a:ln>
              <a:noFill/>
            </a:ln>
          </c:spPr>
          <c:invertIfNegative val="0"/>
          <c:dLbls>
            <c:spPr>
              <a:noFill/>
              <a:ln>
                <a:noFill/>
              </a:ln>
              <a:effectLst/>
            </c:sp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2"/>
                <c:pt idx="0">
                  <c:v>Book author</c:v>
                </c:pt>
                <c:pt idx="1">
                  <c:v>Critic</c:v>
                </c:pt>
              </c:strCache>
            </c:strRef>
          </c:cat>
          <c:val>
            <c:numRef>
              <c:f>1</c:f>
              <c:numCache>
                <c:formatCode>General</c:formatCode>
                <c:ptCount val="2"/>
                <c:pt idx="0">
                  <c:v>615</c:v>
                </c:pt>
                <c:pt idx="1">
                  <c:v>278</c:v>
                </c:pt>
              </c:numCache>
            </c:numRef>
          </c:val>
          <c:extLst>
            <c:ext xmlns:c16="http://schemas.microsoft.com/office/drawing/2014/chart" uri="{C3380CC4-5D6E-409C-BE32-E72D297353CC}">
              <c16:uniqueId val="{00000001-FE69-BD43-98EF-8D425BD2080A}"/>
            </c:ext>
          </c:extLst>
        </c:ser>
        <c:ser>
          <c:idx val="2"/>
          <c:order val="2"/>
          <c:tx>
            <c:strRef>
              <c:f>label 2</c:f>
              <c:strCache>
                <c:ptCount val="1"/>
                <c:pt idx="0">
                  <c:v>Non-binary author</c:v>
                </c:pt>
              </c:strCache>
            </c:strRef>
          </c:tx>
          <c:spPr>
            <a:solidFill>
              <a:srgbClr val="5BBF21"/>
            </a:solidFill>
            <a:ln>
              <a:noFill/>
            </a:ln>
          </c:spPr>
          <c:invertIfNegative val="0"/>
          <c:dLbls>
            <c:spPr>
              <a:noFill/>
              <a:ln>
                <a:noFill/>
              </a:ln>
              <a:effectLst/>
            </c:sp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2"/>
                <c:pt idx="0">
                  <c:v>Book author</c:v>
                </c:pt>
                <c:pt idx="1">
                  <c:v>Critic</c:v>
                </c:pt>
              </c:strCache>
            </c:strRef>
          </c:cat>
          <c:val>
            <c:numRef>
              <c:f>2</c:f>
              <c:numCache>
                <c:formatCode>General</c:formatCode>
                <c:ptCount val="2"/>
                <c:pt idx="0">
                  <c:v>4</c:v>
                </c:pt>
                <c:pt idx="1">
                  <c:v>0</c:v>
                </c:pt>
              </c:numCache>
            </c:numRef>
          </c:val>
          <c:extLst>
            <c:ext xmlns:c16="http://schemas.microsoft.com/office/drawing/2014/chart" uri="{C3380CC4-5D6E-409C-BE32-E72D297353CC}">
              <c16:uniqueId val="{00000002-FE69-BD43-98EF-8D425BD2080A}"/>
            </c:ext>
          </c:extLst>
        </c:ser>
        <c:dLbls>
          <c:showLegendKey val="0"/>
          <c:showVal val="0"/>
          <c:showCatName val="0"/>
          <c:showSerName val="0"/>
          <c:showPercent val="0"/>
          <c:showBubbleSize val="0"/>
        </c:dLbls>
        <c:gapWidth val="182"/>
        <c:axId val="910165"/>
        <c:axId val="53578295"/>
      </c:barChart>
      <c:catAx>
        <c:axId val="910165"/>
        <c:scaling>
          <c:orientation val="minMax"/>
        </c:scaling>
        <c:delete val="0"/>
        <c:axPos val="l"/>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US"/>
          </a:p>
        </c:txPr>
        <c:crossAx val="53578295"/>
        <c:crosses val="autoZero"/>
        <c:auto val="1"/>
        <c:lblAlgn val="ctr"/>
        <c:lblOffset val="100"/>
        <c:noMultiLvlLbl val="1"/>
      </c:catAx>
      <c:valAx>
        <c:axId val="53578295"/>
        <c:scaling>
          <c:orientation val="minMax"/>
        </c:scaling>
        <c:delete val="0"/>
        <c:axPos val="b"/>
        <c:majorGridlines>
          <c:spPr>
            <a:ln w="9360">
              <a:solidFill>
                <a:srgbClr val="D9D9D9"/>
              </a:solidFill>
              <a:round/>
            </a:ln>
          </c:spPr>
        </c:majorGridlines>
        <c:numFmt formatCode="General"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US"/>
          </a:p>
        </c:txPr>
        <c:crossAx val="910165"/>
        <c:crosses val="autoZero"/>
        <c:crossBetween val="between"/>
      </c:valAx>
      <c:spPr>
        <a:noFill/>
        <a:ln>
          <a:noFill/>
        </a:ln>
      </c:spPr>
    </c:plotArea>
    <c:legend>
      <c:legendPos val="b"/>
      <c:overlay val="0"/>
      <c:spPr>
        <a:noFill/>
        <a:ln>
          <a:noFill/>
        </a:ln>
      </c:spPr>
      <c:txPr>
        <a:bodyPr/>
        <a:lstStyle/>
        <a:p>
          <a:pPr>
            <a:defRPr sz="900" b="0" strike="noStrike" spc="-1">
              <a:solidFill>
                <a:srgbClr val="595959"/>
              </a:solidFill>
              <a:latin typeface="Calibri"/>
            </a:defRPr>
          </a:pPr>
          <a:endParaRPr lang="en-US"/>
        </a:p>
      </c:txPr>
    </c:legend>
    <c:plotVisOnly val="1"/>
    <c:dispBlanksAs val="gap"/>
    <c:showDLblsOverMax val="1"/>
  </c:chart>
  <c:spPr>
    <a:solidFill>
      <a:srgbClr val="FFFFFF"/>
    </a:solidFill>
    <a:ln w="9360">
      <a:solidFill>
        <a:srgbClr val="D9D9D9"/>
      </a:solidFill>
      <a:round/>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Arial"/>
              </a:defRPr>
            </a:pPr>
            <a:r>
              <a:rPr lang="en-GB" sz="1400" b="0" strike="noStrike" spc="-1">
                <a:solidFill>
                  <a:srgbClr val="595959"/>
                </a:solidFill>
                <a:latin typeface="Arial"/>
              </a:rPr>
              <a:t>Reviews in The Herald 2017-2019, by individual reviewer and by gender</a:t>
            </a:r>
          </a:p>
        </c:rich>
      </c:tx>
      <c:overlay val="0"/>
      <c:spPr>
        <a:noFill/>
        <a:ln>
          <a:noFill/>
        </a:ln>
      </c:spPr>
    </c:title>
    <c:autoTitleDeleted val="0"/>
    <c:plotArea>
      <c:layout/>
      <c:barChart>
        <c:barDir val="bar"/>
        <c:grouping val="clustered"/>
        <c:varyColors val="0"/>
        <c:ser>
          <c:idx val="0"/>
          <c:order val="0"/>
          <c:tx>
            <c:strRef>
              <c:f>label 0</c:f>
              <c:strCache>
                <c:ptCount val="1"/>
              </c:strCache>
            </c:strRef>
          </c:tx>
          <c:spPr>
            <a:solidFill>
              <a:srgbClr val="00B5D6"/>
            </a:solidFill>
            <a:ln>
              <a:noFill/>
            </a:ln>
          </c:spPr>
          <c:invertIfNegative val="0"/>
          <c:dLbls>
            <c:spPr>
              <a:noFill/>
              <a:ln>
                <a:noFill/>
              </a:ln>
              <a:effectLst/>
            </c:sp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74"/>
                <c:pt idx="0">
                  <c:v>Female Reviewer 01</c:v>
                </c:pt>
                <c:pt idx="1">
                  <c:v>Female Reviewer 02</c:v>
                </c:pt>
                <c:pt idx="2">
                  <c:v>Female Reviewer 03</c:v>
                </c:pt>
                <c:pt idx="3">
                  <c:v>Female Reviewer 04</c:v>
                </c:pt>
                <c:pt idx="4">
                  <c:v>Female Reviewer 05</c:v>
                </c:pt>
                <c:pt idx="5">
                  <c:v>Female Reviewer 06</c:v>
                </c:pt>
                <c:pt idx="6">
                  <c:v>Female Reviewer 07</c:v>
                </c:pt>
                <c:pt idx="7">
                  <c:v>Female Reviewer 08</c:v>
                </c:pt>
                <c:pt idx="8">
                  <c:v>Female Reviewer 09</c:v>
                </c:pt>
                <c:pt idx="9">
                  <c:v>Female Reviewer 10</c:v>
                </c:pt>
                <c:pt idx="10">
                  <c:v>Female Reviewer 11</c:v>
                </c:pt>
                <c:pt idx="11">
                  <c:v>Female Reviewer 12</c:v>
                </c:pt>
                <c:pt idx="12">
                  <c:v>Female Reviewer 13</c:v>
                </c:pt>
                <c:pt idx="13">
                  <c:v>Female Reviewer 14</c:v>
                </c:pt>
                <c:pt idx="14">
                  <c:v>Female Reviewer 15</c:v>
                </c:pt>
                <c:pt idx="15">
                  <c:v>Female Reviewer 16</c:v>
                </c:pt>
                <c:pt idx="16">
                  <c:v>Female Reviewer 17</c:v>
                </c:pt>
                <c:pt idx="17">
                  <c:v>Female Reviewer 18</c:v>
                </c:pt>
                <c:pt idx="18">
                  <c:v>Female Reviewer 19</c:v>
                </c:pt>
                <c:pt idx="19">
                  <c:v>Female Reviewer 20</c:v>
                </c:pt>
                <c:pt idx="20">
                  <c:v>Female Reviewer 21</c:v>
                </c:pt>
                <c:pt idx="21">
                  <c:v>Male Reviewer 01: Paperback reviews</c:v>
                </c:pt>
                <c:pt idx="22">
                  <c:v>Male Reviewer 01: Other reviews</c:v>
                </c:pt>
                <c:pt idx="23">
                  <c:v>Male Reviewer 02</c:v>
                </c:pt>
                <c:pt idx="24">
                  <c:v>Male Reviewer 03</c:v>
                </c:pt>
                <c:pt idx="25">
                  <c:v>Male Reviewer 04</c:v>
                </c:pt>
                <c:pt idx="26">
                  <c:v>Male Reviewer 05</c:v>
                </c:pt>
                <c:pt idx="27">
                  <c:v>Male Reviewer 06</c:v>
                </c:pt>
                <c:pt idx="28">
                  <c:v>Male Reviewer 07</c:v>
                </c:pt>
                <c:pt idx="29">
                  <c:v>Male Reviewer 08</c:v>
                </c:pt>
                <c:pt idx="30">
                  <c:v>Male Reviewer 09</c:v>
                </c:pt>
                <c:pt idx="31">
                  <c:v>Male Reviewer 10</c:v>
                </c:pt>
                <c:pt idx="32">
                  <c:v>Male Reviewer 11</c:v>
                </c:pt>
                <c:pt idx="33">
                  <c:v>Male Reviewer 12</c:v>
                </c:pt>
                <c:pt idx="34">
                  <c:v>Male Reviewer 13</c:v>
                </c:pt>
                <c:pt idx="35">
                  <c:v>Male Reviewer 14</c:v>
                </c:pt>
                <c:pt idx="36">
                  <c:v>Male Reviewer 15</c:v>
                </c:pt>
                <c:pt idx="37">
                  <c:v>Male Reviewer 16</c:v>
                </c:pt>
                <c:pt idx="38">
                  <c:v>Male Reviewer 17</c:v>
                </c:pt>
                <c:pt idx="39">
                  <c:v>Male Reviewer 18</c:v>
                </c:pt>
                <c:pt idx="40">
                  <c:v>Male Reviewer 19</c:v>
                </c:pt>
                <c:pt idx="41">
                  <c:v>Male Reviewer 20</c:v>
                </c:pt>
                <c:pt idx="42">
                  <c:v>Male Reviewer 21</c:v>
                </c:pt>
                <c:pt idx="43">
                  <c:v>Male Reviewer 22</c:v>
                </c:pt>
                <c:pt idx="44">
                  <c:v>Male Reviewer 23</c:v>
                </c:pt>
                <c:pt idx="45">
                  <c:v>Male Reviewer 24</c:v>
                </c:pt>
                <c:pt idx="46">
                  <c:v>Male Reviewer 25</c:v>
                </c:pt>
                <c:pt idx="47">
                  <c:v>Male Reviewer 26</c:v>
                </c:pt>
                <c:pt idx="48">
                  <c:v>Male Reviewer 27</c:v>
                </c:pt>
                <c:pt idx="49">
                  <c:v>Male Reviewer 28</c:v>
                </c:pt>
                <c:pt idx="50">
                  <c:v>Male Reviewer 29</c:v>
                </c:pt>
                <c:pt idx="51">
                  <c:v>Male Reviewer 30</c:v>
                </c:pt>
                <c:pt idx="52">
                  <c:v>Male Reviewer 31</c:v>
                </c:pt>
                <c:pt idx="53">
                  <c:v>Male Reviewer 32</c:v>
                </c:pt>
                <c:pt idx="54">
                  <c:v>Male Reviewer 33</c:v>
                </c:pt>
                <c:pt idx="55">
                  <c:v>Male Reviewer 34</c:v>
                </c:pt>
                <c:pt idx="56">
                  <c:v>Male Reviewer 35</c:v>
                </c:pt>
                <c:pt idx="57">
                  <c:v>Male Reviewer 36</c:v>
                </c:pt>
                <c:pt idx="58">
                  <c:v>Male Reviewer 37</c:v>
                </c:pt>
                <c:pt idx="59">
                  <c:v>Unavailable Data Reviewer 01</c:v>
                </c:pt>
                <c:pt idx="60">
                  <c:v>Unavailable Data Reviewer 02</c:v>
                </c:pt>
                <c:pt idx="61">
                  <c:v>Unavailable Data Reviewer 03</c:v>
                </c:pt>
                <c:pt idx="62">
                  <c:v>Unavailable Data Reviewer 04</c:v>
                </c:pt>
                <c:pt idx="63">
                  <c:v>Unavailable Data Reviewer 05</c:v>
                </c:pt>
                <c:pt idx="64">
                  <c:v>Unavailable Data Reviewer 06</c:v>
                </c:pt>
                <c:pt idx="65">
                  <c:v>Unavailable Data Reviewer 07</c:v>
                </c:pt>
                <c:pt idx="66">
                  <c:v>Unavailable Data Reviewer 08</c:v>
                </c:pt>
                <c:pt idx="67">
                  <c:v>Unavailable Data Reviewer 09</c:v>
                </c:pt>
                <c:pt idx="68">
                  <c:v>Unavailable Data Reviewer 10</c:v>
                </c:pt>
                <c:pt idx="69">
                  <c:v>Unavailable Data Reviewer 11</c:v>
                </c:pt>
                <c:pt idx="70">
                  <c:v>Unavailable Data Reviewer 12</c:v>
                </c:pt>
                <c:pt idx="71">
                  <c:v>Unavailable Data Reviewer 13</c:v>
                </c:pt>
                <c:pt idx="72">
                  <c:v>Unavailable Data Reviewer 14</c:v>
                </c:pt>
                <c:pt idx="73">
                  <c:v>Unavailable Data Reviewer 15</c:v>
                </c:pt>
              </c:strCache>
            </c:strRef>
          </c:cat>
          <c:val>
            <c:numRef>
              <c:f>0</c:f>
              <c:numCache>
                <c:formatCode>General</c:formatCode>
                <c:ptCount val="74"/>
                <c:pt idx="0">
                  <c:v>51</c:v>
                </c:pt>
                <c:pt idx="1">
                  <c:v>35</c:v>
                </c:pt>
                <c:pt idx="2">
                  <c:v>13</c:v>
                </c:pt>
                <c:pt idx="3">
                  <c:v>12</c:v>
                </c:pt>
                <c:pt idx="4">
                  <c:v>12</c:v>
                </c:pt>
                <c:pt idx="5">
                  <c:v>11</c:v>
                </c:pt>
                <c:pt idx="6">
                  <c:v>11</c:v>
                </c:pt>
                <c:pt idx="7">
                  <c:v>11</c:v>
                </c:pt>
                <c:pt idx="8">
                  <c:v>9</c:v>
                </c:pt>
                <c:pt idx="9">
                  <c:v>6</c:v>
                </c:pt>
                <c:pt idx="10">
                  <c:v>5</c:v>
                </c:pt>
                <c:pt idx="11">
                  <c:v>4</c:v>
                </c:pt>
                <c:pt idx="12">
                  <c:v>4</c:v>
                </c:pt>
                <c:pt idx="13">
                  <c:v>2</c:v>
                </c:pt>
                <c:pt idx="14">
                  <c:v>2</c:v>
                </c:pt>
                <c:pt idx="15">
                  <c:v>1</c:v>
                </c:pt>
                <c:pt idx="16">
                  <c:v>1</c:v>
                </c:pt>
                <c:pt idx="17">
                  <c:v>1</c:v>
                </c:pt>
                <c:pt idx="18">
                  <c:v>1</c:v>
                </c:pt>
                <c:pt idx="19">
                  <c:v>1</c:v>
                </c:pt>
                <c:pt idx="20">
                  <c:v>1</c:v>
                </c:pt>
                <c:pt idx="21">
                  <c:v>380</c:v>
                </c:pt>
                <c:pt idx="22">
                  <c:v>126</c:v>
                </c:pt>
                <c:pt idx="23">
                  <c:v>50</c:v>
                </c:pt>
                <c:pt idx="24">
                  <c:v>48</c:v>
                </c:pt>
                <c:pt idx="25">
                  <c:v>38</c:v>
                </c:pt>
                <c:pt idx="26">
                  <c:v>27</c:v>
                </c:pt>
                <c:pt idx="27">
                  <c:v>25</c:v>
                </c:pt>
                <c:pt idx="28">
                  <c:v>22</c:v>
                </c:pt>
                <c:pt idx="29">
                  <c:v>15</c:v>
                </c:pt>
                <c:pt idx="30">
                  <c:v>13</c:v>
                </c:pt>
                <c:pt idx="31">
                  <c:v>13</c:v>
                </c:pt>
                <c:pt idx="32">
                  <c:v>12</c:v>
                </c:pt>
                <c:pt idx="33">
                  <c:v>9</c:v>
                </c:pt>
                <c:pt idx="34">
                  <c:v>9</c:v>
                </c:pt>
                <c:pt idx="35">
                  <c:v>9</c:v>
                </c:pt>
                <c:pt idx="36">
                  <c:v>7</c:v>
                </c:pt>
                <c:pt idx="37">
                  <c:v>6</c:v>
                </c:pt>
                <c:pt idx="38">
                  <c:v>6</c:v>
                </c:pt>
                <c:pt idx="39">
                  <c:v>6</c:v>
                </c:pt>
                <c:pt idx="40">
                  <c:v>5</c:v>
                </c:pt>
                <c:pt idx="41">
                  <c:v>5</c:v>
                </c:pt>
                <c:pt idx="42">
                  <c:v>5</c:v>
                </c:pt>
                <c:pt idx="43">
                  <c:v>4</c:v>
                </c:pt>
                <c:pt idx="44">
                  <c:v>3</c:v>
                </c:pt>
                <c:pt idx="45">
                  <c:v>3</c:v>
                </c:pt>
                <c:pt idx="46">
                  <c:v>3</c:v>
                </c:pt>
                <c:pt idx="47">
                  <c:v>3</c:v>
                </c:pt>
                <c:pt idx="48">
                  <c:v>3</c:v>
                </c:pt>
                <c:pt idx="49">
                  <c:v>3</c:v>
                </c:pt>
                <c:pt idx="50">
                  <c:v>3</c:v>
                </c:pt>
                <c:pt idx="51">
                  <c:v>2</c:v>
                </c:pt>
                <c:pt idx="52">
                  <c:v>2</c:v>
                </c:pt>
                <c:pt idx="53">
                  <c:v>1</c:v>
                </c:pt>
                <c:pt idx="54">
                  <c:v>1</c:v>
                </c:pt>
                <c:pt idx="55">
                  <c:v>1</c:v>
                </c:pt>
                <c:pt idx="56">
                  <c:v>1</c:v>
                </c:pt>
                <c:pt idx="57">
                  <c:v>1</c:v>
                </c:pt>
                <c:pt idx="58">
                  <c:v>1</c:v>
                </c:pt>
                <c:pt idx="59">
                  <c:v>37</c:v>
                </c:pt>
                <c:pt idx="60">
                  <c:v>12</c:v>
                </c:pt>
                <c:pt idx="61">
                  <c:v>9</c:v>
                </c:pt>
                <c:pt idx="62">
                  <c:v>3</c:v>
                </c:pt>
                <c:pt idx="63">
                  <c:v>3</c:v>
                </c:pt>
                <c:pt idx="64">
                  <c:v>2</c:v>
                </c:pt>
                <c:pt idx="65">
                  <c:v>2</c:v>
                </c:pt>
                <c:pt idx="66">
                  <c:v>1</c:v>
                </c:pt>
                <c:pt idx="67">
                  <c:v>1</c:v>
                </c:pt>
                <c:pt idx="68">
                  <c:v>1</c:v>
                </c:pt>
                <c:pt idx="69">
                  <c:v>1</c:v>
                </c:pt>
                <c:pt idx="70">
                  <c:v>1</c:v>
                </c:pt>
                <c:pt idx="71">
                  <c:v>1</c:v>
                </c:pt>
                <c:pt idx="72">
                  <c:v>1</c:v>
                </c:pt>
                <c:pt idx="73">
                  <c:v>1</c:v>
                </c:pt>
              </c:numCache>
            </c:numRef>
          </c:val>
          <c:extLst>
            <c:ext xmlns:c16="http://schemas.microsoft.com/office/drawing/2014/chart" uri="{C3380CC4-5D6E-409C-BE32-E72D297353CC}">
              <c16:uniqueId val="{00000000-5EFB-A742-8F18-13C47A8772D8}"/>
            </c:ext>
          </c:extLst>
        </c:ser>
        <c:dLbls>
          <c:showLegendKey val="0"/>
          <c:showVal val="0"/>
          <c:showCatName val="0"/>
          <c:showSerName val="0"/>
          <c:showPercent val="0"/>
          <c:showBubbleSize val="0"/>
        </c:dLbls>
        <c:gapWidth val="182"/>
        <c:axId val="46666608"/>
        <c:axId val="49495031"/>
      </c:barChart>
      <c:catAx>
        <c:axId val="46666608"/>
        <c:scaling>
          <c:orientation val="minMax"/>
        </c:scaling>
        <c:delete val="0"/>
        <c:axPos val="l"/>
        <c:numFmt formatCode="General" sourceLinked="1"/>
        <c:majorTickMark val="none"/>
        <c:minorTickMark val="none"/>
        <c:tickLblPos val="nextTo"/>
        <c:spPr>
          <a:ln w="9360">
            <a:solidFill>
              <a:srgbClr val="D9D9D9"/>
            </a:solidFill>
            <a:round/>
          </a:ln>
        </c:spPr>
        <c:txPr>
          <a:bodyPr/>
          <a:lstStyle/>
          <a:p>
            <a:pPr>
              <a:defRPr sz="700" b="0" strike="noStrike" spc="-1">
                <a:solidFill>
                  <a:srgbClr val="595959"/>
                </a:solidFill>
                <a:latin typeface="Arial"/>
              </a:defRPr>
            </a:pPr>
            <a:endParaRPr lang="en-US"/>
          </a:p>
        </c:txPr>
        <c:crossAx val="49495031"/>
        <c:crosses val="autoZero"/>
        <c:auto val="1"/>
        <c:lblAlgn val="ctr"/>
        <c:lblOffset val="100"/>
        <c:noMultiLvlLbl val="1"/>
      </c:catAx>
      <c:valAx>
        <c:axId val="49495031"/>
        <c:scaling>
          <c:orientation val="minMax"/>
        </c:scaling>
        <c:delete val="0"/>
        <c:axPos val="b"/>
        <c:majorGridlines>
          <c:spPr>
            <a:ln w="9360">
              <a:solidFill>
                <a:srgbClr val="D9D9D9"/>
              </a:solidFill>
              <a:round/>
            </a:ln>
          </c:spPr>
        </c:majorGridlines>
        <c:numFmt formatCode="General" sourceLinked="0"/>
        <c:majorTickMark val="none"/>
        <c:minorTickMark val="none"/>
        <c:tickLblPos val="nextTo"/>
        <c:spPr>
          <a:ln w="6480">
            <a:noFill/>
          </a:ln>
        </c:spPr>
        <c:txPr>
          <a:bodyPr/>
          <a:lstStyle/>
          <a:p>
            <a:pPr>
              <a:defRPr sz="900" b="0" strike="noStrike" spc="-1">
                <a:solidFill>
                  <a:srgbClr val="595959"/>
                </a:solidFill>
                <a:latin typeface="Arial"/>
              </a:defRPr>
            </a:pPr>
            <a:endParaRPr lang="en-US"/>
          </a:p>
        </c:txPr>
        <c:crossAx val="46666608"/>
        <c:crosses val="autoZero"/>
        <c:crossBetween val="between"/>
      </c:valAx>
      <c:spPr>
        <a:noFill/>
        <a:ln>
          <a:noFill/>
        </a:ln>
      </c:spPr>
    </c:plotArea>
    <c:plotVisOnly val="1"/>
    <c:dispBlanksAs val="gap"/>
    <c:showDLblsOverMax val="1"/>
  </c:chart>
  <c:spPr>
    <a:solidFill>
      <a:srgbClr val="FFFFFF"/>
    </a:solidFill>
    <a:ln w="9360">
      <a:noFill/>
    </a:ln>
  </c:spPr>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Arial"/>
              </a:defRPr>
            </a:pPr>
            <a:r>
              <a:rPr lang="en-GB" sz="1400" b="0" strike="noStrike" spc="-1">
                <a:solidFill>
                  <a:srgbClr val="595959"/>
                </a:solidFill>
                <a:latin typeface="Arial"/>
              </a:rPr>
              <a:t>Reviews in The Scotsman 2017-2019, by individual reviewer and by gender</a:t>
            </a:r>
          </a:p>
        </c:rich>
      </c:tx>
      <c:overlay val="0"/>
      <c:spPr>
        <a:noFill/>
        <a:ln>
          <a:noFill/>
        </a:ln>
      </c:spPr>
    </c:title>
    <c:autoTitleDeleted val="0"/>
    <c:plotArea>
      <c:layout/>
      <c:barChart>
        <c:barDir val="bar"/>
        <c:grouping val="clustered"/>
        <c:varyColors val="0"/>
        <c:ser>
          <c:idx val="0"/>
          <c:order val="0"/>
          <c:tx>
            <c:strRef>
              <c:f>label 0</c:f>
              <c:strCache>
                <c:ptCount val="1"/>
                <c:pt idx="0">
                  <c:v>Reviews 2017-2019</c:v>
                </c:pt>
              </c:strCache>
            </c:strRef>
          </c:tx>
          <c:spPr>
            <a:solidFill>
              <a:srgbClr val="00B5D6"/>
            </a:solidFill>
            <a:ln>
              <a:noFill/>
            </a:ln>
          </c:spPr>
          <c:invertIfNegative val="0"/>
          <c:dLbls>
            <c:spPr>
              <a:noFill/>
              <a:ln>
                <a:noFill/>
              </a:ln>
              <a:effectLst/>
            </c:sp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28"/>
                <c:pt idx="0">
                  <c:v>Female Reviewer 01</c:v>
                </c:pt>
                <c:pt idx="1">
                  <c:v>Female Reviewer 02</c:v>
                </c:pt>
                <c:pt idx="2">
                  <c:v>Female Reviewer 03</c:v>
                </c:pt>
                <c:pt idx="3">
                  <c:v>Female Reviewer 04</c:v>
                </c:pt>
                <c:pt idx="4">
                  <c:v>Female Reviewer 05</c:v>
                </c:pt>
                <c:pt idx="5">
                  <c:v>Female Reviewer 06</c:v>
                </c:pt>
                <c:pt idx="6">
                  <c:v>Female Reviewer 07</c:v>
                </c:pt>
                <c:pt idx="7">
                  <c:v>Female Reviewer 08</c:v>
                </c:pt>
                <c:pt idx="8">
                  <c:v>Male Reviewer 01</c:v>
                </c:pt>
                <c:pt idx="9">
                  <c:v>Male Reviewer 02</c:v>
                </c:pt>
                <c:pt idx="10">
                  <c:v>Male Reviewer 03</c:v>
                </c:pt>
                <c:pt idx="11">
                  <c:v>Male Reviewer 04</c:v>
                </c:pt>
                <c:pt idx="12">
                  <c:v>Male Reviewer 05</c:v>
                </c:pt>
                <c:pt idx="13">
                  <c:v>Male Reviewer 06</c:v>
                </c:pt>
                <c:pt idx="14">
                  <c:v>Male Reviewer 07</c:v>
                </c:pt>
                <c:pt idx="15">
                  <c:v>Male Reviewer 08</c:v>
                </c:pt>
                <c:pt idx="16">
                  <c:v>Male Reviewer 09</c:v>
                </c:pt>
                <c:pt idx="17">
                  <c:v>Male Reviewer 10</c:v>
                </c:pt>
                <c:pt idx="18">
                  <c:v>Male Reviewer 11</c:v>
                </c:pt>
                <c:pt idx="19">
                  <c:v>Male Reviewer 12</c:v>
                </c:pt>
                <c:pt idx="20">
                  <c:v>Male Reviewer 13</c:v>
                </c:pt>
                <c:pt idx="21">
                  <c:v>Male Reviewer 14</c:v>
                </c:pt>
                <c:pt idx="22">
                  <c:v>Male Reviewer 15</c:v>
                </c:pt>
                <c:pt idx="23">
                  <c:v>Male Reviewer 16</c:v>
                </c:pt>
                <c:pt idx="24">
                  <c:v>Male Reviewer 17</c:v>
                </c:pt>
                <c:pt idx="25">
                  <c:v>Unavailable Data Reviewer 01</c:v>
                </c:pt>
                <c:pt idx="26">
                  <c:v>Unavailable Data Reviewer 02</c:v>
                </c:pt>
                <c:pt idx="27">
                  <c:v>Unavailable Data Reviewer 03</c:v>
                </c:pt>
              </c:strCache>
            </c:strRef>
          </c:cat>
          <c:val>
            <c:numRef>
              <c:f>0</c:f>
              <c:numCache>
                <c:formatCode>General</c:formatCode>
                <c:ptCount val="28"/>
                <c:pt idx="0">
                  <c:v>25</c:v>
                </c:pt>
                <c:pt idx="1">
                  <c:v>23</c:v>
                </c:pt>
                <c:pt idx="2">
                  <c:v>23</c:v>
                </c:pt>
                <c:pt idx="3">
                  <c:v>6</c:v>
                </c:pt>
                <c:pt idx="4">
                  <c:v>4</c:v>
                </c:pt>
                <c:pt idx="5">
                  <c:v>2</c:v>
                </c:pt>
                <c:pt idx="6">
                  <c:v>1</c:v>
                </c:pt>
                <c:pt idx="7">
                  <c:v>1</c:v>
                </c:pt>
                <c:pt idx="8">
                  <c:v>139</c:v>
                </c:pt>
                <c:pt idx="9">
                  <c:v>132</c:v>
                </c:pt>
                <c:pt idx="10">
                  <c:v>67</c:v>
                </c:pt>
                <c:pt idx="11">
                  <c:v>13</c:v>
                </c:pt>
                <c:pt idx="12">
                  <c:v>10</c:v>
                </c:pt>
                <c:pt idx="13">
                  <c:v>6</c:v>
                </c:pt>
                <c:pt idx="14">
                  <c:v>6</c:v>
                </c:pt>
                <c:pt idx="15">
                  <c:v>4</c:v>
                </c:pt>
                <c:pt idx="16">
                  <c:v>3</c:v>
                </c:pt>
                <c:pt idx="17">
                  <c:v>3</c:v>
                </c:pt>
                <c:pt idx="18">
                  <c:v>2</c:v>
                </c:pt>
                <c:pt idx="19">
                  <c:v>2</c:v>
                </c:pt>
                <c:pt idx="20">
                  <c:v>2</c:v>
                </c:pt>
                <c:pt idx="21">
                  <c:v>1</c:v>
                </c:pt>
                <c:pt idx="22">
                  <c:v>1</c:v>
                </c:pt>
                <c:pt idx="23">
                  <c:v>1</c:v>
                </c:pt>
                <c:pt idx="24">
                  <c:v>1</c:v>
                </c:pt>
                <c:pt idx="25">
                  <c:v>3</c:v>
                </c:pt>
                <c:pt idx="26">
                  <c:v>2</c:v>
                </c:pt>
                <c:pt idx="27">
                  <c:v>1</c:v>
                </c:pt>
              </c:numCache>
            </c:numRef>
          </c:val>
          <c:extLst>
            <c:ext xmlns:c16="http://schemas.microsoft.com/office/drawing/2014/chart" uri="{C3380CC4-5D6E-409C-BE32-E72D297353CC}">
              <c16:uniqueId val="{00000000-40C7-1E41-93B6-8B2739C31C2C}"/>
            </c:ext>
          </c:extLst>
        </c:ser>
        <c:dLbls>
          <c:showLegendKey val="0"/>
          <c:showVal val="0"/>
          <c:showCatName val="0"/>
          <c:showSerName val="0"/>
          <c:showPercent val="0"/>
          <c:showBubbleSize val="0"/>
        </c:dLbls>
        <c:gapWidth val="182"/>
        <c:axId val="28119304"/>
        <c:axId val="97647999"/>
      </c:barChart>
      <c:catAx>
        <c:axId val="28119304"/>
        <c:scaling>
          <c:orientation val="minMax"/>
        </c:scaling>
        <c:delete val="0"/>
        <c:axPos val="l"/>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Arial"/>
              </a:defRPr>
            </a:pPr>
            <a:endParaRPr lang="en-US"/>
          </a:p>
        </c:txPr>
        <c:crossAx val="97647999"/>
        <c:crosses val="autoZero"/>
        <c:auto val="1"/>
        <c:lblAlgn val="ctr"/>
        <c:lblOffset val="100"/>
        <c:noMultiLvlLbl val="1"/>
      </c:catAx>
      <c:valAx>
        <c:axId val="97647999"/>
        <c:scaling>
          <c:orientation val="minMax"/>
        </c:scaling>
        <c:delete val="0"/>
        <c:axPos val="b"/>
        <c:majorGridlines>
          <c:spPr>
            <a:ln w="9360">
              <a:solidFill>
                <a:srgbClr val="D9D9D9"/>
              </a:solidFill>
              <a:round/>
            </a:ln>
          </c:spPr>
        </c:majorGridlines>
        <c:numFmt formatCode="General" sourceLinked="0"/>
        <c:majorTickMark val="none"/>
        <c:minorTickMark val="none"/>
        <c:tickLblPos val="nextTo"/>
        <c:spPr>
          <a:ln w="6480">
            <a:noFill/>
          </a:ln>
        </c:spPr>
        <c:txPr>
          <a:bodyPr/>
          <a:lstStyle/>
          <a:p>
            <a:pPr>
              <a:defRPr sz="900" b="0" strike="noStrike" spc="-1">
                <a:solidFill>
                  <a:srgbClr val="595959"/>
                </a:solidFill>
                <a:latin typeface="Arial"/>
              </a:defRPr>
            </a:pPr>
            <a:endParaRPr lang="en-US"/>
          </a:p>
        </c:txPr>
        <c:crossAx val="28119304"/>
        <c:crosses val="autoZero"/>
        <c:crossBetween val="between"/>
      </c:valAx>
      <c:spPr>
        <a:noFill/>
        <a:ln>
          <a:noFill/>
        </a:ln>
      </c:spPr>
    </c:plotArea>
    <c:plotVisOnly val="1"/>
    <c:dispBlanksAs val="gap"/>
    <c:showDLblsOverMax val="1"/>
  </c:chart>
  <c:spPr>
    <a:solidFill>
      <a:srgbClr val="FFFFFF"/>
    </a:solidFill>
    <a:ln w="9360">
      <a:noFill/>
    </a:ln>
  </c:spPr>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Total</a:t>
            </a:r>
            <a:r>
              <a:rPr lang="en-US" baseline="0"/>
              <a:t> reviews by gender of author and critic</a:t>
            </a:r>
            <a:endParaRPr lang="en-US"/>
          </a:p>
        </c:rich>
      </c:tx>
      <c:layout>
        <c:manualLayout>
          <c:xMode val="edge"/>
          <c:yMode val="edge"/>
          <c:x val="0.22241305774278211"/>
          <c:y val="2.777777777777777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Reviews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83C-A74C-B632-4E600AA0402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83C-A74C-B632-4E600AA0402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83C-A74C-B632-4E600AA0402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83C-A74C-B632-4E600AA0402A}"/>
              </c:ext>
            </c:extLst>
          </c:dPt>
          <c:dLbls>
            <c:dLbl>
              <c:idx val="3"/>
              <c:layout>
                <c:manualLayout>
                  <c:x val="-0.15972222222222221"/>
                  <c:y val="1.1904761904761904E-2"/>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383C-A74C-B632-4E600AA0402A}"/>
                </c:ext>
              </c:extLst>
            </c:dLbl>
            <c:numFmt formatCode="0.0%" sourceLinked="0"/>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1"/>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Sheet1!$A$2:$A$5</c:f>
              <c:strCache>
                <c:ptCount val="4"/>
                <c:pt idx="0">
                  <c:v>Man reviewed by man</c:v>
                </c:pt>
                <c:pt idx="1">
                  <c:v>Woman reviewed by man</c:v>
                </c:pt>
                <c:pt idx="2">
                  <c:v>Man reviewed by woman</c:v>
                </c:pt>
                <c:pt idx="3">
                  <c:v>Woman reviewed by woman</c:v>
                </c:pt>
              </c:strCache>
            </c:strRef>
          </c:cat>
          <c:val>
            <c:numRef>
              <c:f>Sheet1!$B$2:$B$5</c:f>
              <c:numCache>
                <c:formatCode>General</c:formatCode>
                <c:ptCount val="4"/>
                <c:pt idx="0">
                  <c:v>876</c:v>
                </c:pt>
                <c:pt idx="1">
                  <c:v>404</c:v>
                </c:pt>
                <c:pt idx="2">
                  <c:v>122</c:v>
                </c:pt>
                <c:pt idx="3">
                  <c:v>165</c:v>
                </c:pt>
              </c:numCache>
            </c:numRef>
          </c:val>
          <c:extLst>
            <c:ext xmlns:c16="http://schemas.microsoft.com/office/drawing/2014/chart" uri="{C3380CC4-5D6E-409C-BE32-E72D297353CC}">
              <c16:uniqueId val="{00000008-383C-A74C-B632-4E600AA0402A}"/>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Percentages observed</a:t>
            </a:r>
            <a:r>
              <a:rPr lang="en-GB" baseline="0"/>
              <a:t> in publishing, reviewing, festivals and prizes, for comparison</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GB"/>
        </a:p>
      </c:txPr>
    </c:title>
    <c:autoTitleDeleted val="0"/>
    <c:plotArea>
      <c:layout/>
      <c:barChart>
        <c:barDir val="bar"/>
        <c:grouping val="percentStacked"/>
        <c:varyColors val="0"/>
        <c:ser>
          <c:idx val="0"/>
          <c:order val="0"/>
          <c:tx>
            <c:strRef>
              <c:f>Sheet1!$B$1</c:f>
              <c:strCache>
                <c:ptCount val="1"/>
                <c:pt idx="0">
                  <c:v>Male author</c:v>
                </c:pt>
              </c:strCache>
            </c:strRef>
          </c:tx>
          <c:spPr>
            <a:solidFill>
              <a:schemeClr val="accent1"/>
            </a:solidFill>
            <a:ln>
              <a:noFill/>
            </a:ln>
            <a:effectLst/>
          </c:spPr>
          <c:invertIfNegative val="0"/>
          <c:cat>
            <c:strRef>
              <c:f>Sheet1!$A$2:$A$7</c:f>
              <c:strCache>
                <c:ptCount val="6"/>
                <c:pt idx="0">
                  <c:v>Publishing 2017-2019</c:v>
                </c:pt>
                <c:pt idx="1">
                  <c:v>Authors reviewed 2017-2019</c:v>
                </c:pt>
                <c:pt idx="2">
                  <c:v>Reviewers 2017-2019</c:v>
                </c:pt>
                <c:pt idx="3">
                  <c:v>All festival events 2017-2019</c:v>
                </c:pt>
                <c:pt idx="4">
                  <c:v>Solo author festival events 2017-2019</c:v>
                </c:pt>
                <c:pt idx="5">
                  <c:v>Total prize winners 1919-2024</c:v>
                </c:pt>
              </c:strCache>
            </c:strRef>
          </c:cat>
          <c:val>
            <c:numRef>
              <c:f>Sheet1!$B$2:$B$7</c:f>
              <c:numCache>
                <c:formatCode>General</c:formatCode>
                <c:ptCount val="6"/>
                <c:pt idx="0">
                  <c:v>61.3</c:v>
                </c:pt>
                <c:pt idx="1">
                  <c:v>62.7</c:v>
                </c:pt>
                <c:pt idx="2">
                  <c:v>82</c:v>
                </c:pt>
                <c:pt idx="3">
                  <c:v>53.5</c:v>
                </c:pt>
                <c:pt idx="4">
                  <c:v>62.4</c:v>
                </c:pt>
                <c:pt idx="5">
                  <c:v>65.900000000000006</c:v>
                </c:pt>
              </c:numCache>
            </c:numRef>
          </c:val>
          <c:extLst>
            <c:ext xmlns:c16="http://schemas.microsoft.com/office/drawing/2014/chart" uri="{C3380CC4-5D6E-409C-BE32-E72D297353CC}">
              <c16:uniqueId val="{00000000-93E4-884F-9856-EDEA0B63698B}"/>
            </c:ext>
          </c:extLst>
        </c:ser>
        <c:ser>
          <c:idx val="1"/>
          <c:order val="1"/>
          <c:tx>
            <c:strRef>
              <c:f>Sheet1!$C$1</c:f>
              <c:strCache>
                <c:ptCount val="1"/>
                <c:pt idx="0">
                  <c:v>Female author</c:v>
                </c:pt>
              </c:strCache>
            </c:strRef>
          </c:tx>
          <c:spPr>
            <a:solidFill>
              <a:schemeClr val="accent2"/>
            </a:solidFill>
            <a:ln>
              <a:noFill/>
            </a:ln>
            <a:effectLst/>
          </c:spPr>
          <c:invertIfNegative val="0"/>
          <c:cat>
            <c:strRef>
              <c:f>Sheet1!$A$2:$A$7</c:f>
              <c:strCache>
                <c:ptCount val="6"/>
                <c:pt idx="0">
                  <c:v>Publishing 2017-2019</c:v>
                </c:pt>
                <c:pt idx="1">
                  <c:v>Authors reviewed 2017-2019</c:v>
                </c:pt>
                <c:pt idx="2">
                  <c:v>Reviewers 2017-2019</c:v>
                </c:pt>
                <c:pt idx="3">
                  <c:v>All festival events 2017-2019</c:v>
                </c:pt>
                <c:pt idx="4">
                  <c:v>Solo author festival events 2017-2019</c:v>
                </c:pt>
                <c:pt idx="5">
                  <c:v>Total prize winners 1919-2024</c:v>
                </c:pt>
              </c:strCache>
            </c:strRef>
          </c:cat>
          <c:val>
            <c:numRef>
              <c:f>Sheet1!$C$2:$C$7</c:f>
              <c:numCache>
                <c:formatCode>General</c:formatCode>
                <c:ptCount val="6"/>
                <c:pt idx="0">
                  <c:v>38.6</c:v>
                </c:pt>
                <c:pt idx="1">
                  <c:v>37.1</c:v>
                </c:pt>
                <c:pt idx="2">
                  <c:v>18</c:v>
                </c:pt>
                <c:pt idx="3">
                  <c:v>46.1</c:v>
                </c:pt>
                <c:pt idx="4">
                  <c:v>37.299999999999997</c:v>
                </c:pt>
                <c:pt idx="5">
                  <c:v>33.4</c:v>
                </c:pt>
              </c:numCache>
            </c:numRef>
          </c:val>
          <c:extLst>
            <c:ext xmlns:c16="http://schemas.microsoft.com/office/drawing/2014/chart" uri="{C3380CC4-5D6E-409C-BE32-E72D297353CC}">
              <c16:uniqueId val="{00000001-93E4-884F-9856-EDEA0B63698B}"/>
            </c:ext>
          </c:extLst>
        </c:ser>
        <c:ser>
          <c:idx val="2"/>
          <c:order val="2"/>
          <c:tx>
            <c:strRef>
              <c:f>Sheet1!$D$1</c:f>
              <c:strCache>
                <c:ptCount val="1"/>
                <c:pt idx="0">
                  <c:v>Non-binary author</c:v>
                </c:pt>
              </c:strCache>
            </c:strRef>
          </c:tx>
          <c:spPr>
            <a:solidFill>
              <a:schemeClr val="accent3"/>
            </a:solidFill>
            <a:ln>
              <a:noFill/>
            </a:ln>
            <a:effectLst/>
          </c:spPr>
          <c:invertIfNegative val="0"/>
          <c:cat>
            <c:strRef>
              <c:f>Sheet1!$A$2:$A$7</c:f>
              <c:strCache>
                <c:ptCount val="6"/>
                <c:pt idx="0">
                  <c:v>Publishing 2017-2019</c:v>
                </c:pt>
                <c:pt idx="1">
                  <c:v>Authors reviewed 2017-2019</c:v>
                </c:pt>
                <c:pt idx="2">
                  <c:v>Reviewers 2017-2019</c:v>
                </c:pt>
                <c:pt idx="3">
                  <c:v>All festival events 2017-2019</c:v>
                </c:pt>
                <c:pt idx="4">
                  <c:v>Solo author festival events 2017-2019</c:v>
                </c:pt>
                <c:pt idx="5">
                  <c:v>Total prize winners 1919-2024</c:v>
                </c:pt>
              </c:strCache>
            </c:strRef>
          </c:cat>
          <c:val>
            <c:numRef>
              <c:f>Sheet1!$D$2:$D$7</c:f>
              <c:numCache>
                <c:formatCode>General</c:formatCode>
                <c:ptCount val="6"/>
                <c:pt idx="0">
                  <c:v>0.1</c:v>
                </c:pt>
                <c:pt idx="1">
                  <c:v>0.3</c:v>
                </c:pt>
                <c:pt idx="2">
                  <c:v>0</c:v>
                </c:pt>
                <c:pt idx="3">
                  <c:v>0.4</c:v>
                </c:pt>
                <c:pt idx="4">
                  <c:v>0.3</c:v>
                </c:pt>
                <c:pt idx="5">
                  <c:v>0.7</c:v>
                </c:pt>
              </c:numCache>
            </c:numRef>
          </c:val>
          <c:extLst>
            <c:ext xmlns:c16="http://schemas.microsoft.com/office/drawing/2014/chart" uri="{C3380CC4-5D6E-409C-BE32-E72D297353CC}">
              <c16:uniqueId val="{00000002-93E4-884F-9856-EDEA0B63698B}"/>
            </c:ext>
          </c:extLst>
        </c:ser>
        <c:dLbls>
          <c:showLegendKey val="0"/>
          <c:showVal val="0"/>
          <c:showCatName val="0"/>
          <c:showSerName val="0"/>
          <c:showPercent val="0"/>
          <c:showBubbleSize val="0"/>
        </c:dLbls>
        <c:gapWidth val="150"/>
        <c:overlap val="100"/>
        <c:axId val="41616383"/>
        <c:axId val="1595112752"/>
      </c:barChart>
      <c:catAx>
        <c:axId val="416163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95112752"/>
        <c:crosses val="autoZero"/>
        <c:auto val="1"/>
        <c:lblAlgn val="ctr"/>
        <c:lblOffset val="100"/>
        <c:noMultiLvlLbl val="0"/>
      </c:catAx>
      <c:valAx>
        <c:axId val="1595112752"/>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61638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SBT colours">
      <a:dk1>
        <a:sysClr val="windowText" lastClr="000000"/>
      </a:dk1>
      <a:lt1>
        <a:sysClr val="window" lastClr="FFFFFF"/>
      </a:lt1>
      <a:dk2>
        <a:srgbClr val="44546A"/>
      </a:dk2>
      <a:lt2>
        <a:srgbClr val="E7E6E6"/>
      </a:lt2>
      <a:accent1>
        <a:srgbClr val="00B5D6"/>
      </a:accent1>
      <a:accent2>
        <a:srgbClr val="F77F00"/>
      </a:accent2>
      <a:accent3>
        <a:srgbClr val="5BBF21"/>
      </a:accent3>
      <a:accent4>
        <a:srgbClr val="FFCE00"/>
      </a:accent4>
      <a:accent5>
        <a:srgbClr val="F42582"/>
      </a:accent5>
      <a:accent6>
        <a:srgbClr val="E8112D"/>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8785B6A84FF374FB0FF4EC4BB9AFA49" ma:contentTypeVersion="18" ma:contentTypeDescription="Create a new document." ma:contentTypeScope="" ma:versionID="14893423f7323a1a8a638d46ad9a1599">
  <xsd:schema xmlns:xsd="http://www.w3.org/2001/XMLSchema" xmlns:xs="http://www.w3.org/2001/XMLSchema" xmlns:p="http://schemas.microsoft.com/office/2006/metadata/properties" xmlns:ns2="6b42feb5-42f4-4875-917d-a8fcb0477ae8" xmlns:ns3="e8fe8bb9-e0d4-4ac3-b920-326070b987fc" targetNamespace="http://schemas.microsoft.com/office/2006/metadata/properties" ma:root="true" ma:fieldsID="b6339029f1300dbd2f374a8cea536c54" ns2:_="" ns3:_="">
    <xsd:import namespace="6b42feb5-42f4-4875-917d-a8fcb0477ae8"/>
    <xsd:import namespace="e8fe8bb9-e0d4-4ac3-b920-326070b987f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GenerationTime" minOccurs="0"/>
                <xsd:element ref="ns3:MediaServiceEventHashCode" minOccurs="0"/>
                <xsd:element ref="ns3:MediaServiceLocation" minOccurs="0"/>
                <xsd:element ref="ns3:MediaServiceOCR"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42feb5-42f4-4875-917d-a8fcb0477ae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4b56ac4-af9b-4662-9143-bdd5b02ef649}" ma:internalName="TaxCatchAll" ma:showField="CatchAllData" ma:web="6b42feb5-42f4-4875-917d-a8fcb0477ae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8fe8bb9-e0d4-4ac3-b920-326070b987f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660978a-abcb-4ac2-a434-47d9e953369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b42feb5-42f4-4875-917d-a8fcb0477ae8" xsi:nil="true"/>
    <lcf76f155ced4ddcb4097134ff3c332f xmlns="e8fe8bb9-e0d4-4ac3-b920-326070b987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3F9F58-6972-4B02-A277-E0F3FB84D3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42feb5-42f4-4875-917d-a8fcb0477ae8"/>
    <ds:schemaRef ds:uri="e8fe8bb9-e0d4-4ac3-b920-326070b987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0FAC9E-E2A7-4312-8C64-9D3B84DD447B}">
  <ds:schemaRefs>
    <ds:schemaRef ds:uri="http://schemas.microsoft.com/sharepoint/v3/contenttype/forms"/>
  </ds:schemaRefs>
</ds:datastoreItem>
</file>

<file path=customXml/itemProps3.xml><?xml version="1.0" encoding="utf-8"?>
<ds:datastoreItem xmlns:ds="http://schemas.openxmlformats.org/officeDocument/2006/customXml" ds:itemID="{0B0205E8-8DEF-42BE-B5FF-A177F332E737}">
  <ds:schemaRefs>
    <ds:schemaRef ds:uri="http://schemas.openxmlformats.org/officeDocument/2006/bibliography"/>
  </ds:schemaRefs>
</ds:datastoreItem>
</file>

<file path=customXml/itemProps4.xml><?xml version="1.0" encoding="utf-8"?>
<ds:datastoreItem xmlns:ds="http://schemas.openxmlformats.org/officeDocument/2006/customXml" ds:itemID="{7A2CF4F6-C82D-4290-AB8C-817C84CF5360}">
  <ds:schemaRefs>
    <ds:schemaRef ds:uri="http://schemas.microsoft.com/office/2006/metadata/properties"/>
    <ds:schemaRef ds:uri="http://schemas.microsoft.com/office/infopath/2007/PartnerControls"/>
    <ds:schemaRef ds:uri="6b42feb5-42f4-4875-917d-a8fcb0477ae8"/>
    <ds:schemaRef ds:uri="e8fe8bb9-e0d4-4ac3-b920-326070b987fc"/>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11580</Words>
  <Characters>66472</Characters>
  <Application>Microsoft Office Word</Application>
  <DocSecurity>8</DocSecurity>
  <Lines>1187</Lines>
  <Paragraphs>378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
  <cp:revision>3</cp:revision>
  <cp:lastPrinted>2020-01-10T20:08:00Z</cp:lastPrinted>
  <dcterms:created xsi:type="dcterms:W3CDTF">2025-04-14T15:00:00Z</dcterms:created>
  <dcterms:modified xsi:type="dcterms:W3CDTF">2025-04-14T15:31:00Z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0x010100F8785B6A84FF374FB0FF4EC4BB9AFA49</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Order">
    <vt:i4>7337600</vt:i4>
  </property>
  <property fmtid="{D5CDD505-2E9C-101B-9397-08002B2CF9AE}" pid="9" name="ScaleCrop">
    <vt:bool>false</vt:bool>
  </property>
  <property fmtid="{D5CDD505-2E9C-101B-9397-08002B2CF9AE}" pid="10" name="ShareDoc">
    <vt:bool>false</vt:bool>
  </property>
  <property fmtid="{D5CDD505-2E9C-101B-9397-08002B2CF9AE}" pid="11" name="ZOTERO_PREF_1">
    <vt:lpwstr>&lt;data data-version="3" zotero-version="6.0.37"&gt;&lt;session id="W7msR3fm"/&gt;&lt;style id="http://www.zotero.org/styles/chicago-note-bibliography" locale="en-GB" hasBibliography="1" bibliographyStyleHasBeenSet="1"/&gt;&lt;prefs&gt;&lt;pref name="fieldType" value="Field"/&gt;&lt;pre</vt:lpwstr>
  </property>
  <property fmtid="{D5CDD505-2E9C-101B-9397-08002B2CF9AE}" pid="12" name="ZOTERO_PREF_2">
    <vt:lpwstr>f name="delayCitationUpdates" value="true"/&gt;&lt;pref name="dontAskDelayCitationUpdates" value="true"/&gt;&lt;pref name="noteType" value="1"/&gt;&lt;/prefs&gt;&lt;/data&gt;</vt:lpwstr>
  </property>
</Properties>
</file>